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451B47">
      <w:pPr>
        <w:pStyle w:val="8"/>
        <w:spacing w:before="120" w:beforeAutospacing="0" w:after="120" w:afterAutospacing="0" w:line="360" w:lineRule="auto"/>
        <w:jc w:val="center"/>
        <w:rPr>
          <w:rFonts w:ascii="Arial" w:hAnsi="Arial" w:cs="Arial"/>
          <w:b/>
          <w:color w:val="000000"/>
          <w:sz w:val="84"/>
          <w:szCs w:val="84"/>
        </w:rPr>
      </w:pPr>
    </w:p>
    <w:p w14:paraId="12346330">
      <w:pPr>
        <w:pStyle w:val="8"/>
        <w:spacing w:before="120" w:beforeAutospacing="0" w:after="120" w:afterAutospacing="0" w:line="360" w:lineRule="auto"/>
        <w:jc w:val="center"/>
        <w:rPr>
          <w:rFonts w:ascii="Arial" w:hAnsi="Arial" w:cs="Arial"/>
          <w:b/>
          <w:color w:val="000000"/>
          <w:sz w:val="84"/>
          <w:szCs w:val="84"/>
        </w:rPr>
      </w:pPr>
    </w:p>
    <w:p w14:paraId="7ECDED98">
      <w:pPr>
        <w:pStyle w:val="8"/>
        <w:spacing w:before="120" w:beforeAutospacing="0" w:after="120" w:afterAutospacing="0" w:line="360" w:lineRule="auto"/>
        <w:jc w:val="center"/>
      </w:pPr>
      <w:r>
        <w:rPr>
          <w:rFonts w:ascii="Arial" w:hAnsi="Arial" w:cs="Arial"/>
          <w:b/>
          <w:color w:val="000000"/>
          <w:sz w:val="84"/>
          <w:szCs w:val="84"/>
        </w:rPr>
        <w:t>招 标 文 件</w:t>
      </w:r>
    </w:p>
    <w:p w14:paraId="3D20D329">
      <w:pPr>
        <w:pStyle w:val="8"/>
        <w:spacing w:before="120" w:beforeAutospacing="0" w:after="120" w:afterAutospacing="0" w:line="360" w:lineRule="auto"/>
        <w:ind w:firstLine="720" w:firstLineChars="300"/>
      </w:pPr>
    </w:p>
    <w:p w14:paraId="2F5197F3">
      <w:pPr>
        <w:pStyle w:val="8"/>
        <w:spacing w:before="120" w:beforeAutospacing="0" w:after="120" w:afterAutospacing="0" w:line="360" w:lineRule="auto"/>
        <w:ind w:firstLine="720" w:firstLineChars="300"/>
        <w:rPr>
          <w:b/>
          <w:bCs/>
        </w:rPr>
      </w:pPr>
      <w:r>
        <w:rPr>
          <w:rFonts w:hint="eastAsia"/>
          <w:b/>
          <w:bCs/>
        </w:rPr>
        <w:t>项目名称：</w:t>
      </w:r>
      <w:r>
        <w:rPr>
          <w:rFonts w:hint="eastAsia"/>
          <w:b/>
          <w:bCs/>
          <w:lang w:eastAsia="zh-CN"/>
        </w:rPr>
        <w:t>大丰港石化园区地下水污染风险溯源管控专项整治项目(2025-2026)</w:t>
      </w:r>
      <w:r>
        <w:rPr>
          <w:rFonts w:hint="eastAsia"/>
          <w:b/>
          <w:bCs/>
        </w:rPr>
        <w:t> </w:t>
      </w:r>
    </w:p>
    <w:p w14:paraId="683F06C3">
      <w:pPr>
        <w:pStyle w:val="8"/>
        <w:spacing w:before="120" w:beforeAutospacing="0" w:after="120" w:afterAutospacing="0" w:line="360" w:lineRule="auto"/>
        <w:ind w:firstLine="720" w:firstLineChars="300"/>
      </w:pPr>
    </w:p>
    <w:p w14:paraId="54F35D9A">
      <w:pPr>
        <w:pStyle w:val="8"/>
        <w:spacing w:before="120" w:beforeAutospacing="0" w:after="120" w:afterAutospacing="0" w:line="360" w:lineRule="auto"/>
        <w:ind w:firstLine="720" w:firstLineChars="300"/>
        <w:rPr>
          <w:b/>
          <w:bCs/>
        </w:rPr>
      </w:pPr>
      <w:r>
        <w:rPr>
          <w:rFonts w:hint="eastAsia"/>
          <w:b/>
          <w:bCs/>
        </w:rPr>
        <w:t>项目编号：JSZC-320904-YBGL-G2025-0007</w:t>
      </w:r>
    </w:p>
    <w:p w14:paraId="175AB2F7">
      <w:pPr>
        <w:pStyle w:val="8"/>
        <w:spacing w:beforeAutospacing="0" w:afterAutospacing="0" w:line="360" w:lineRule="auto"/>
      </w:pPr>
      <w:r>
        <w:t> </w:t>
      </w:r>
    </w:p>
    <w:p w14:paraId="0D90754A">
      <w:pPr>
        <w:pStyle w:val="8"/>
        <w:spacing w:beforeAutospacing="0" w:afterAutospacing="0" w:line="360" w:lineRule="auto"/>
      </w:pPr>
      <w:r>
        <w:t> </w:t>
      </w:r>
    </w:p>
    <w:p w14:paraId="79F05D43">
      <w:pPr>
        <w:pStyle w:val="8"/>
        <w:spacing w:beforeAutospacing="0" w:afterAutospacing="0" w:line="360" w:lineRule="auto"/>
      </w:pPr>
      <w:r>
        <w:t> </w:t>
      </w:r>
    </w:p>
    <w:p w14:paraId="1536DB30">
      <w:pPr>
        <w:pStyle w:val="8"/>
        <w:spacing w:beforeAutospacing="0" w:afterAutospacing="0" w:line="360" w:lineRule="auto"/>
      </w:pPr>
      <w:r>
        <w:t> </w:t>
      </w:r>
    </w:p>
    <w:p w14:paraId="7483800C">
      <w:pPr>
        <w:pStyle w:val="8"/>
        <w:spacing w:beforeAutospacing="0" w:afterAutospacing="0" w:line="360" w:lineRule="auto"/>
      </w:pPr>
      <w:r>
        <w:t> </w:t>
      </w:r>
    </w:p>
    <w:p w14:paraId="73D454BA">
      <w:pPr>
        <w:pStyle w:val="8"/>
        <w:spacing w:beforeAutospacing="0" w:afterAutospacing="0" w:line="360" w:lineRule="auto"/>
      </w:pPr>
      <w:r>
        <w:t> </w:t>
      </w:r>
    </w:p>
    <w:p w14:paraId="33C353E4">
      <w:pPr>
        <w:pStyle w:val="8"/>
        <w:spacing w:beforeAutospacing="0" w:afterAutospacing="0" w:line="360" w:lineRule="auto"/>
      </w:pPr>
      <w:r>
        <w:t> </w:t>
      </w:r>
    </w:p>
    <w:p w14:paraId="67761017">
      <w:pPr>
        <w:pStyle w:val="8"/>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采购单位：江苏大丰港经济开发区管理委员会</w:t>
      </w:r>
    </w:p>
    <w:p w14:paraId="37544063">
      <w:pPr>
        <w:pStyle w:val="8"/>
        <w:spacing w:before="120" w:beforeAutospacing="0" w:after="120" w:afterAutospacing="0" w:line="360" w:lineRule="auto"/>
        <w:jc w:val="center"/>
      </w:pPr>
      <w:r>
        <w:rPr>
          <w:rFonts w:hint="eastAsia" w:ascii="Arial" w:hAnsi="Arial" w:cs="Arial"/>
          <w:b/>
          <w:color w:val="000000"/>
          <w:sz w:val="32"/>
          <w:szCs w:val="32"/>
        </w:rPr>
        <w:t>2025</w:t>
      </w:r>
      <w:r>
        <w:rPr>
          <w:rFonts w:ascii="Arial" w:hAnsi="Arial" w:cs="Arial"/>
          <w:b/>
          <w:color w:val="000000"/>
          <w:sz w:val="32"/>
          <w:szCs w:val="32"/>
        </w:rPr>
        <w:t>年</w:t>
      </w:r>
      <w:r>
        <w:rPr>
          <w:rFonts w:hint="eastAsia" w:ascii="Arial" w:hAnsi="Arial" w:cs="Arial"/>
          <w:b/>
          <w:color w:val="000000"/>
          <w:sz w:val="32"/>
          <w:szCs w:val="32"/>
        </w:rPr>
        <w:t>9</w:t>
      </w:r>
      <w:r>
        <w:rPr>
          <w:rFonts w:ascii="Arial" w:hAnsi="Arial" w:cs="Arial"/>
          <w:b/>
          <w:color w:val="000000"/>
          <w:sz w:val="32"/>
          <w:szCs w:val="32"/>
        </w:rPr>
        <w:t>月</w:t>
      </w:r>
    </w:p>
    <w:p w14:paraId="3636DD5F">
      <w:pPr>
        <w:pStyle w:val="8"/>
        <w:spacing w:before="120" w:beforeAutospacing="0" w:after="120" w:afterAutospacing="0" w:line="360" w:lineRule="auto"/>
      </w:pPr>
      <w:r>
        <w:rPr>
          <w:rFonts w:ascii="Arial" w:hAnsi="Arial" w:cs="Arial"/>
          <w:color w:val="000000"/>
        </w:rPr>
        <w:t xml:space="preserve">                        </w:t>
      </w:r>
    </w:p>
    <w:p w14:paraId="71D76352">
      <w:pPr>
        <w:pStyle w:val="8"/>
        <w:spacing w:before="120" w:beforeAutospacing="0" w:after="120" w:afterAutospacing="0" w:line="360" w:lineRule="auto"/>
        <w:jc w:val="center"/>
      </w:pPr>
      <w:r>
        <w:t> </w:t>
      </w:r>
    </w:p>
    <w:p w14:paraId="6F0A2A83">
      <w:pPr>
        <w:pStyle w:val="8"/>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t> </w:t>
      </w:r>
      <w:bookmarkStart w:id="0" w:name="_Toc523127445"/>
      <w:bookmarkStart w:id="1" w:name="_Toc20823272"/>
      <w:bookmarkStart w:id="2" w:name="_Toc120614210"/>
      <w:bookmarkStart w:id="3" w:name="_Toc479757206"/>
      <w:bookmarkStart w:id="4" w:name="_Toc513029200"/>
      <w:bookmarkStart w:id="5" w:name="_Toc16938516"/>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740DC8D1">
      <w:pPr>
        <w:pStyle w:val="8"/>
        <w:spacing w:beforeAutospacing="0" w:afterAutospacing="0" w:line="480" w:lineRule="auto"/>
        <w:jc w:val="both"/>
      </w:pPr>
      <w:r>
        <w:t> </w:t>
      </w:r>
    </w:p>
    <w:p w14:paraId="4FDDE30D">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招标公告…………………………………… </w:t>
      </w:r>
    </w:p>
    <w:p w14:paraId="0E5C3D92">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投标人须知…………………………………  </w:t>
      </w:r>
    </w:p>
    <w:p w14:paraId="03B2C756">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合同文本……………………………………</w:t>
      </w:r>
    </w:p>
    <w:p w14:paraId="7C95D1AE">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采购需求……………………………………</w:t>
      </w:r>
    </w:p>
    <w:p w14:paraId="1A99FD32">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评标方法与评标标准………………………</w:t>
      </w:r>
    </w:p>
    <w:p w14:paraId="209319BE">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投标文件格式………………………………</w:t>
      </w:r>
    </w:p>
    <w:p w14:paraId="464F58CD">
      <w:pPr>
        <w:pStyle w:val="8"/>
        <w:spacing w:beforeAutospacing="0" w:afterAutospacing="0"/>
        <w:jc w:val="both"/>
      </w:pPr>
      <w:r>
        <w:t> </w:t>
      </w:r>
    </w:p>
    <w:p w14:paraId="6D0E94F3">
      <w:pPr>
        <w:pStyle w:val="8"/>
        <w:spacing w:beforeAutospacing="0" w:afterAutospacing="0"/>
        <w:jc w:val="both"/>
      </w:pPr>
      <w:r>
        <w:t> </w:t>
      </w:r>
    </w:p>
    <w:p w14:paraId="63751E5E">
      <w:pPr>
        <w:pStyle w:val="8"/>
        <w:spacing w:beforeAutospacing="0" w:afterAutospacing="0"/>
        <w:jc w:val="both"/>
      </w:pPr>
      <w:r>
        <w:t> </w:t>
      </w:r>
    </w:p>
    <w:p w14:paraId="1F1AF22A">
      <w:pPr>
        <w:pStyle w:val="8"/>
        <w:spacing w:beforeAutospacing="0" w:afterAutospacing="0"/>
        <w:jc w:val="both"/>
      </w:pPr>
      <w:r>
        <w:t> </w:t>
      </w:r>
    </w:p>
    <w:p w14:paraId="67C8EBF4">
      <w:pPr>
        <w:pStyle w:val="8"/>
        <w:spacing w:beforeAutospacing="0" w:afterAutospacing="0"/>
        <w:jc w:val="both"/>
      </w:pPr>
      <w:r>
        <w:t> </w:t>
      </w:r>
    </w:p>
    <w:p w14:paraId="2210E069">
      <w:pPr>
        <w:pStyle w:val="8"/>
        <w:spacing w:beforeAutospacing="0" w:afterAutospacing="0"/>
        <w:jc w:val="both"/>
      </w:pPr>
      <w:r>
        <w:t> </w:t>
      </w:r>
    </w:p>
    <w:p w14:paraId="7C7DDDC7">
      <w:pPr>
        <w:pStyle w:val="8"/>
        <w:spacing w:beforeAutospacing="0" w:afterAutospacing="0"/>
        <w:jc w:val="both"/>
      </w:pPr>
      <w:r>
        <w:t> </w:t>
      </w:r>
    </w:p>
    <w:p w14:paraId="03B21FFF">
      <w:pPr>
        <w:pStyle w:val="8"/>
        <w:spacing w:beforeAutospacing="0" w:afterAutospacing="0"/>
        <w:jc w:val="both"/>
      </w:pPr>
      <w:r>
        <w:t> </w:t>
      </w:r>
    </w:p>
    <w:p w14:paraId="6382211F">
      <w:pPr>
        <w:pStyle w:val="8"/>
        <w:spacing w:beforeAutospacing="0" w:afterAutospacing="0"/>
        <w:jc w:val="both"/>
      </w:pPr>
      <w:r>
        <w:t> </w:t>
      </w:r>
    </w:p>
    <w:p w14:paraId="123D97E7">
      <w:pPr>
        <w:pStyle w:val="8"/>
        <w:spacing w:beforeAutospacing="0" w:afterAutospacing="0"/>
        <w:jc w:val="both"/>
      </w:pPr>
      <w:r>
        <w:t> </w:t>
      </w:r>
    </w:p>
    <w:p w14:paraId="5FF93323">
      <w:pPr>
        <w:pStyle w:val="8"/>
        <w:spacing w:beforeAutospacing="0" w:afterAutospacing="0"/>
        <w:jc w:val="both"/>
      </w:pPr>
      <w:r>
        <w:t> </w:t>
      </w:r>
    </w:p>
    <w:p w14:paraId="762BA4B9">
      <w:pPr>
        <w:pStyle w:val="8"/>
        <w:spacing w:beforeAutospacing="0" w:afterAutospacing="0"/>
        <w:jc w:val="both"/>
      </w:pPr>
      <w:r>
        <w:t> </w:t>
      </w:r>
    </w:p>
    <w:p w14:paraId="035B3357">
      <w:pPr>
        <w:pStyle w:val="8"/>
        <w:spacing w:beforeAutospacing="0" w:afterAutospacing="0"/>
        <w:jc w:val="both"/>
      </w:pPr>
      <w:r>
        <w:t> </w:t>
      </w:r>
    </w:p>
    <w:p w14:paraId="5CCD33E5">
      <w:pPr>
        <w:pStyle w:val="8"/>
        <w:spacing w:beforeAutospacing="0" w:afterAutospacing="0"/>
        <w:jc w:val="both"/>
      </w:pPr>
      <w:r>
        <w:t> </w:t>
      </w:r>
    </w:p>
    <w:p w14:paraId="474CC73C">
      <w:pPr>
        <w:pStyle w:val="8"/>
        <w:spacing w:beforeAutospacing="0" w:afterAutospacing="0"/>
        <w:jc w:val="both"/>
      </w:pPr>
      <w:r>
        <w:t> </w:t>
      </w:r>
    </w:p>
    <w:p w14:paraId="39469B23">
      <w:pPr>
        <w:pStyle w:val="8"/>
        <w:spacing w:beforeAutospacing="0" w:afterAutospacing="0"/>
        <w:jc w:val="both"/>
      </w:pPr>
      <w:r>
        <w:t> </w:t>
      </w:r>
    </w:p>
    <w:p w14:paraId="64BA6228">
      <w:pPr>
        <w:pStyle w:val="8"/>
        <w:keepNext/>
        <w:spacing w:beforeAutospacing="0" w:afterAutospacing="0"/>
        <w:jc w:val="center"/>
        <w:rPr>
          <w:rFonts w:eastAsia="黑体"/>
        </w:rPr>
      </w:pPr>
      <w:r>
        <w:rPr>
          <w:rFonts w:hint="eastAsia" w:ascii="黑体" w:hAnsi="宋体" w:eastAsia="黑体" w:cs="黑体"/>
          <w:color w:val="000000"/>
          <w:sz w:val="44"/>
          <w:szCs w:val="44"/>
        </w:rPr>
        <w:t>第一章 招标公告</w:t>
      </w:r>
    </w:p>
    <w:p w14:paraId="5D548D91">
      <w:pPr>
        <w:pStyle w:val="8"/>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b/>
          <w:bCs/>
          <w:sz w:val="21"/>
          <w:szCs w:val="21"/>
        </w:rPr>
      </w:pPr>
      <w:r>
        <w:rPr>
          <w:rFonts w:hint="eastAsia" w:ascii="宋体" w:hAnsi="宋体" w:eastAsia="宋体" w:cs="宋体"/>
          <w:b/>
          <w:bCs/>
          <w:color w:val="000000"/>
          <w:sz w:val="21"/>
          <w:szCs w:val="21"/>
        </w:rPr>
        <w:t>项目概况</w:t>
      </w:r>
    </w:p>
    <w:p w14:paraId="0FC7E93E">
      <w:pPr>
        <w:pStyle w:val="8"/>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u w:val="single"/>
        </w:rPr>
        <w:t>(</w:t>
      </w:r>
      <w:r>
        <w:rPr>
          <w:rFonts w:hint="eastAsia" w:ascii="宋体" w:hAnsi="宋体" w:eastAsia="宋体" w:cs="宋体"/>
          <w:color w:val="000000"/>
          <w:sz w:val="21"/>
          <w:szCs w:val="21"/>
          <w:u w:val="single"/>
          <w:lang w:eastAsia="zh-CN"/>
        </w:rPr>
        <w:t>大丰港石化园区地下水污染风险溯源管控专项整治项目(2025-2026)</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u w:val="single"/>
          <w:lang w:eastAsia="zh-CN"/>
        </w:rPr>
        <w:t>JSZC-320904-YBGL-G2025-0007</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招标项目的潜在投标人可在</w:t>
      </w:r>
      <w:r>
        <w:rPr>
          <w:rFonts w:hint="eastAsia" w:ascii="宋体" w:hAnsi="宋体" w:eastAsia="宋体" w:cs="宋体"/>
          <w:color w:val="333333"/>
          <w:sz w:val="21"/>
          <w:szCs w:val="21"/>
          <w:shd w:val="clear" w:color="auto" w:fill="FFFFFF"/>
        </w:rPr>
        <w:t>“苏采云”系统内免费下载（投标人必须在苏采云系统中获取采购文件，方能参与政府采购项目） </w:t>
      </w:r>
      <w:r>
        <w:rPr>
          <w:rFonts w:hint="eastAsia" w:ascii="宋体" w:hAnsi="宋体" w:eastAsia="宋体" w:cs="宋体"/>
          <w:color w:val="000000"/>
          <w:sz w:val="21"/>
          <w:szCs w:val="21"/>
        </w:rPr>
        <w:t>，并于</w:t>
      </w:r>
      <w:r>
        <w:rPr>
          <w:rFonts w:hint="eastAsia" w:ascii="宋体" w:hAnsi="宋体" w:eastAsia="宋体" w:cs="宋体"/>
          <w:color w:val="000000"/>
          <w:sz w:val="21"/>
          <w:szCs w:val="21"/>
          <w:u w:val="single"/>
        </w:rPr>
        <w:t> 2025 年</w:t>
      </w:r>
      <w:r>
        <w:rPr>
          <w:rFonts w:hint="eastAsia" w:ascii="宋体" w:hAnsi="宋体" w:eastAsia="宋体" w:cs="宋体"/>
          <w:color w:val="000000"/>
          <w:sz w:val="21"/>
          <w:szCs w:val="21"/>
          <w:u w:val="single"/>
          <w:lang w:val="en-US" w:eastAsia="zh-CN"/>
        </w:rPr>
        <w:t>11</w:t>
      </w:r>
      <w:r>
        <w:rPr>
          <w:rFonts w:hint="eastAsia" w:ascii="宋体" w:hAnsi="宋体" w:eastAsia="宋体" w:cs="宋体"/>
          <w:color w:val="000000"/>
          <w:sz w:val="21"/>
          <w:szCs w:val="21"/>
          <w:u w:val="single"/>
        </w:rPr>
        <w:t>月</w:t>
      </w:r>
      <w:r>
        <w:rPr>
          <w:rFonts w:hint="eastAsia" w:ascii="宋体" w:hAnsi="宋体" w:eastAsia="宋体" w:cs="宋体"/>
          <w:color w:val="000000"/>
          <w:sz w:val="21"/>
          <w:szCs w:val="21"/>
          <w:u w:val="single"/>
          <w:lang w:val="en-US" w:eastAsia="zh-CN"/>
        </w:rPr>
        <w:t>5</w:t>
      </w:r>
      <w:r>
        <w:rPr>
          <w:rFonts w:hint="eastAsia" w:ascii="宋体" w:hAnsi="宋体" w:eastAsia="宋体" w:cs="宋体"/>
          <w:color w:val="000000"/>
          <w:sz w:val="21"/>
          <w:szCs w:val="21"/>
          <w:u w:val="single"/>
        </w:rPr>
        <w:t>日</w:t>
      </w:r>
      <w:r>
        <w:rPr>
          <w:rFonts w:hint="eastAsia" w:ascii="宋体" w:hAnsi="宋体" w:eastAsia="宋体" w:cs="宋体"/>
          <w:color w:val="000000"/>
          <w:sz w:val="21"/>
          <w:szCs w:val="21"/>
          <w:u w:val="single"/>
          <w:lang w:val="en-US" w:eastAsia="zh-CN"/>
        </w:rPr>
        <w:t>10</w:t>
      </w:r>
      <w:r>
        <w:rPr>
          <w:rFonts w:hint="eastAsia" w:ascii="宋体" w:hAnsi="宋体" w:eastAsia="宋体" w:cs="宋体"/>
          <w:color w:val="000000"/>
          <w:sz w:val="21"/>
          <w:szCs w:val="21"/>
          <w:u w:val="single"/>
        </w:rPr>
        <w:t>点 </w:t>
      </w:r>
      <w:r>
        <w:rPr>
          <w:rFonts w:hint="eastAsia" w:ascii="宋体" w:hAnsi="宋体" w:eastAsia="宋体" w:cs="宋体"/>
          <w:color w:val="000000"/>
          <w:sz w:val="21"/>
          <w:szCs w:val="21"/>
          <w:u w:val="single"/>
          <w:lang w:val="en-US" w:eastAsia="zh-CN"/>
        </w:rPr>
        <w:t>00</w:t>
      </w:r>
      <w:r>
        <w:rPr>
          <w:rFonts w:hint="eastAsia" w:ascii="宋体" w:hAnsi="宋体" w:eastAsia="宋体" w:cs="宋体"/>
          <w:color w:val="000000"/>
          <w:sz w:val="21"/>
          <w:szCs w:val="21"/>
          <w:u w:val="single"/>
        </w:rPr>
        <w:t>分（</w:t>
      </w:r>
      <w:r>
        <w:rPr>
          <w:rFonts w:hint="eastAsia" w:ascii="宋体" w:hAnsi="宋体" w:eastAsia="宋体" w:cs="宋体"/>
          <w:color w:val="000000"/>
          <w:sz w:val="21"/>
          <w:szCs w:val="21"/>
        </w:rPr>
        <w:t>北京时间）前递交投标文件。</w:t>
      </w:r>
    </w:p>
    <w:p w14:paraId="034BA2C7">
      <w:pPr>
        <w:pStyle w:val="8"/>
        <w:keepNext/>
        <w:keepLines/>
        <w:spacing w:before="145" w:beforeAutospacing="0" w:after="145" w:afterAutospacing="0" w:line="324" w:lineRule="auto"/>
        <w:ind w:firstLine="498"/>
        <w:jc w:val="both"/>
        <w:rPr>
          <w:rFonts w:ascii="宋体" w:hAnsi="宋体" w:eastAsia="宋体" w:cs="宋体"/>
          <w:sz w:val="21"/>
          <w:szCs w:val="21"/>
        </w:rPr>
      </w:pPr>
      <w:bookmarkStart w:id="6" w:name="_Toc35393621"/>
      <w:bookmarkStart w:id="7" w:name="_Hlk24379207"/>
      <w:bookmarkStart w:id="8" w:name="_Toc28359002"/>
      <w:bookmarkStart w:id="9" w:name="_Toc38985263"/>
      <w:bookmarkStart w:id="10" w:name="_Toc28359079"/>
      <w:bookmarkStart w:id="11" w:name="_Toc35393790"/>
      <w:r>
        <w:rPr>
          <w:rFonts w:hint="eastAsia" w:ascii="宋体" w:hAnsi="宋体" w:eastAsia="宋体" w:cs="宋体"/>
          <w:b/>
          <w:color w:val="000000"/>
          <w:sz w:val="21"/>
          <w:szCs w:val="21"/>
        </w:rPr>
        <w:t>一、项目基本情况</w:t>
      </w:r>
      <w:bookmarkEnd w:id="6"/>
      <w:bookmarkEnd w:id="7"/>
      <w:bookmarkEnd w:id="8"/>
      <w:bookmarkEnd w:id="9"/>
      <w:bookmarkEnd w:id="10"/>
      <w:bookmarkEnd w:id="11"/>
    </w:p>
    <w:p w14:paraId="07B06910">
      <w:pPr>
        <w:pStyle w:val="8"/>
        <w:spacing w:beforeAutospacing="0" w:afterAutospacing="0" w:line="324" w:lineRule="auto"/>
        <w:ind w:firstLine="48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1.项目编号：</w:t>
      </w:r>
      <w:r>
        <w:rPr>
          <w:rFonts w:hint="eastAsia" w:ascii="宋体" w:hAnsi="宋体" w:eastAsia="宋体" w:cs="宋体"/>
          <w:color w:val="000000"/>
          <w:sz w:val="21"/>
          <w:szCs w:val="21"/>
          <w:lang w:eastAsia="zh-CN"/>
        </w:rPr>
        <w:t>JSZC-320904-YBGL-G2025-0007</w:t>
      </w:r>
    </w:p>
    <w:p w14:paraId="15BB4A35">
      <w:pPr>
        <w:pStyle w:val="8"/>
        <w:spacing w:beforeAutospacing="0" w:afterAutospacing="0" w:line="324" w:lineRule="auto"/>
        <w:ind w:firstLine="48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2.项目名称：</w:t>
      </w:r>
      <w:r>
        <w:rPr>
          <w:rFonts w:hint="eastAsia" w:ascii="宋体" w:hAnsi="宋体" w:eastAsia="宋体" w:cs="宋体"/>
          <w:color w:val="000000"/>
          <w:sz w:val="21"/>
          <w:szCs w:val="21"/>
          <w:lang w:eastAsia="zh-CN"/>
        </w:rPr>
        <w:t>大丰港石化园区地下水污染风险溯源管控专项整治项目(2025-2026)</w:t>
      </w:r>
    </w:p>
    <w:p w14:paraId="4D1A90FC">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333333"/>
          <w:sz w:val="21"/>
          <w:szCs w:val="21"/>
          <w:shd w:val="clear" w:color="auto" w:fill="FFFFFF"/>
        </w:rPr>
        <w:t>3.采购方式：公开招标</w:t>
      </w:r>
    </w:p>
    <w:p w14:paraId="0F38F7EB">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4.预算金额：人民币850000.00元</w:t>
      </w:r>
    </w:p>
    <w:p w14:paraId="178B9E6F">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5.最高限价（如有）：人民币850000.00元</w:t>
      </w:r>
    </w:p>
    <w:p w14:paraId="6249B44E">
      <w:pPr>
        <w:pStyle w:val="8"/>
        <w:spacing w:beforeAutospacing="0" w:afterAutospacing="0" w:line="324" w:lineRule="auto"/>
        <w:ind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6.采购需求（简介）：包含但不限于开展污染源排查、整治方案优化完善、监测数据比对分析、整治工作完成情况报告编制等工作，具体包括按序时进度完成企业污染源溯源排查、开展园区公共区域污染源溯源排查、实施两个年度的地下水跟踪监测[共56个监测井，每年度枯水期、丰水期各开展1次监测合计4次，监测园区地下水污染超标因子以及常规35项指标(不含微生物指标)]、开展监测数据趋势分析、动态更新国家平台上的有关信息、编制整治工作完成情况报告等（详细内容见本招标文件第四章采购需求）。</w:t>
      </w:r>
    </w:p>
    <w:p w14:paraId="40970614">
      <w:pPr>
        <w:pStyle w:val="8"/>
        <w:spacing w:beforeAutospacing="0" w:afterAutospacing="0" w:line="324" w:lineRule="auto"/>
        <w:ind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7.合同履行期限：合同签订之日起开始，至2027年4月1日前完成招标的全部服务内容。</w:t>
      </w:r>
    </w:p>
    <w:p w14:paraId="7CD0FCC3">
      <w:pPr>
        <w:pStyle w:val="8"/>
        <w:spacing w:beforeAutospacing="0" w:afterAutospacing="0" w:line="324" w:lineRule="auto"/>
        <w:ind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8.本项目不接受联合体参与招标。</w:t>
      </w:r>
    </w:p>
    <w:p w14:paraId="787DBA53">
      <w:pPr>
        <w:pStyle w:val="8"/>
        <w:keepNext/>
        <w:keepLines/>
        <w:spacing w:before="145" w:beforeAutospacing="0" w:after="145" w:afterAutospacing="0" w:line="324" w:lineRule="auto"/>
        <w:ind w:firstLine="498"/>
        <w:jc w:val="both"/>
        <w:rPr>
          <w:rFonts w:ascii="宋体" w:hAnsi="宋体" w:eastAsia="宋体" w:cs="宋体"/>
          <w:sz w:val="21"/>
          <w:szCs w:val="21"/>
        </w:rPr>
      </w:pPr>
      <w:bookmarkStart w:id="12" w:name="_Toc35393791"/>
      <w:bookmarkStart w:id="13" w:name="_Toc35393622"/>
      <w:bookmarkStart w:id="14" w:name="_Toc38985264"/>
      <w:bookmarkStart w:id="15" w:name="_Toc28359003"/>
      <w:bookmarkStart w:id="16" w:name="_Toc28359080"/>
      <w:r>
        <w:rPr>
          <w:rFonts w:hint="eastAsia" w:ascii="宋体" w:hAnsi="宋体" w:eastAsia="宋体" w:cs="宋体"/>
          <w:b/>
          <w:color w:val="000000"/>
          <w:sz w:val="21"/>
          <w:szCs w:val="21"/>
        </w:rPr>
        <w:t>二、投标申请人的资格要求：</w:t>
      </w:r>
      <w:bookmarkEnd w:id="12"/>
      <w:bookmarkEnd w:id="13"/>
      <w:bookmarkEnd w:id="14"/>
      <w:bookmarkEnd w:id="15"/>
      <w:bookmarkEnd w:id="16"/>
    </w:p>
    <w:p w14:paraId="0A61FB2A">
      <w:pPr>
        <w:pStyle w:val="8"/>
        <w:spacing w:beforeAutospacing="0" w:afterAutospacing="0" w:line="324" w:lineRule="auto"/>
        <w:ind w:firstLine="480"/>
        <w:jc w:val="both"/>
        <w:rPr>
          <w:rFonts w:ascii="宋体" w:hAnsi="宋体" w:eastAsia="宋体" w:cs="宋体"/>
          <w:sz w:val="21"/>
          <w:szCs w:val="21"/>
        </w:rPr>
      </w:pPr>
      <w:r>
        <w:rPr>
          <w:rFonts w:hint="eastAsia" w:ascii="宋体" w:hAnsi="宋体" w:eastAsia="宋体" w:cs="宋体"/>
          <w:color w:val="000000"/>
          <w:sz w:val="21"/>
          <w:szCs w:val="21"/>
        </w:rPr>
        <w:t>1.满足《中华人民共和国政府采购法》第二十二条规定，并提供下列材料：</w:t>
      </w:r>
    </w:p>
    <w:p w14:paraId="6BED3B38">
      <w:pPr>
        <w:pStyle w:val="8"/>
        <w:spacing w:beforeAutospacing="0" w:afterAutospacing="0" w:line="324" w:lineRule="auto"/>
        <w:ind w:firstLine="480"/>
        <w:jc w:val="both"/>
        <w:rPr>
          <w:rFonts w:ascii="宋体" w:hAnsi="宋体" w:eastAsia="宋体" w:cs="宋体"/>
          <w:sz w:val="21"/>
          <w:szCs w:val="21"/>
        </w:rPr>
      </w:pPr>
      <w:r>
        <w:rPr>
          <w:rFonts w:hint="eastAsia" w:ascii="宋体" w:hAnsi="宋体" w:eastAsia="宋体" w:cs="宋体"/>
          <w:color w:val="000000"/>
          <w:sz w:val="21"/>
          <w:szCs w:val="21"/>
        </w:rPr>
        <w:t>1.1 法人或者其他组织的营业执照等证明文件，自然人的身份证明；</w:t>
      </w:r>
    </w:p>
    <w:p w14:paraId="0705BFB2">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1.2上一年度的财务状况报告（成立不满一年无需提供）；</w:t>
      </w:r>
    </w:p>
    <w:p w14:paraId="0297B5F5">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1.3具备履行合同所必需的设备和专业技术能力的书面声明；</w:t>
      </w:r>
    </w:p>
    <w:p w14:paraId="112C2484">
      <w:pPr>
        <w:pStyle w:val="8"/>
        <w:spacing w:beforeAutospacing="0" w:afterAutospacing="0" w:line="324" w:lineRule="auto"/>
        <w:ind w:firstLine="480"/>
        <w:jc w:val="both"/>
        <w:rPr>
          <w:rFonts w:ascii="宋体" w:hAnsi="宋体" w:eastAsia="宋体" w:cs="宋体"/>
          <w:sz w:val="21"/>
          <w:szCs w:val="21"/>
        </w:rPr>
      </w:pPr>
      <w:r>
        <w:rPr>
          <w:rFonts w:hint="eastAsia" w:ascii="宋体" w:hAnsi="宋体" w:eastAsia="宋体" w:cs="宋体"/>
          <w:color w:val="000000"/>
          <w:sz w:val="21"/>
          <w:szCs w:val="21"/>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5818B62">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1.5参加政府采购活动前3年内在经营活动中没有重大违法记录的书面声明。</w:t>
      </w:r>
    </w:p>
    <w:p w14:paraId="35CD1E9F">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1.6法律、行政法规规定的其他条件。</w:t>
      </w:r>
    </w:p>
    <w:p w14:paraId="191C8272">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5C50A3B">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1.8单位负责人为同一人或者存在直接控股、管理关系的不同供应商，不得参加同一合同项下的政府采购活动。</w:t>
      </w:r>
    </w:p>
    <w:p w14:paraId="232669D4">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2.落实政府采购政策需满足的资格要求：无。</w:t>
      </w:r>
    </w:p>
    <w:p w14:paraId="13B6AF2D">
      <w:pPr>
        <w:pStyle w:val="8"/>
        <w:spacing w:beforeAutospacing="0" w:afterAutospacing="0" w:line="324"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3.本项目的特定资格要求：无</w:t>
      </w:r>
    </w:p>
    <w:p w14:paraId="626B1DEC">
      <w:pPr>
        <w:pStyle w:val="8"/>
        <w:keepNext/>
        <w:keepLines/>
        <w:spacing w:before="145" w:beforeAutospacing="0" w:after="145" w:afterAutospacing="0" w:line="324" w:lineRule="auto"/>
        <w:ind w:firstLine="498"/>
        <w:jc w:val="both"/>
        <w:rPr>
          <w:rFonts w:ascii="宋体" w:hAnsi="宋体" w:eastAsia="宋体" w:cs="宋体"/>
          <w:sz w:val="21"/>
          <w:szCs w:val="21"/>
        </w:rPr>
      </w:pPr>
      <w:r>
        <w:rPr>
          <w:rFonts w:hint="eastAsia" w:ascii="宋体" w:hAnsi="宋体" w:eastAsia="宋体" w:cs="宋体"/>
          <w:b/>
          <w:color w:val="000000"/>
          <w:sz w:val="21"/>
          <w:szCs w:val="21"/>
        </w:rPr>
        <w:t>三、获取招标文件</w:t>
      </w:r>
    </w:p>
    <w:p w14:paraId="4267D900">
      <w:pPr>
        <w:widowControl/>
        <w:spacing w:line="324" w:lineRule="auto"/>
        <w:ind w:firstLine="420" w:firstLineChars="200"/>
        <w:jc w:val="left"/>
        <w:rPr>
          <w:rFonts w:ascii="宋体" w:hAnsi="宋体" w:eastAsia="宋体" w:cs="宋体"/>
          <w:color w:val="000000"/>
          <w:kern w:val="0"/>
          <w:szCs w:val="21"/>
        </w:rPr>
      </w:pPr>
      <w:bookmarkStart w:id="17" w:name="_Toc28359082"/>
      <w:bookmarkStart w:id="18" w:name="_Toc28359005"/>
      <w:bookmarkStart w:id="19" w:name="_Toc38985266"/>
      <w:bookmarkStart w:id="20" w:name="_Toc35393793"/>
      <w:bookmarkStart w:id="21" w:name="_Toc35393624"/>
      <w:r>
        <w:rPr>
          <w:rFonts w:hint="eastAsia" w:ascii="宋体" w:hAnsi="宋体" w:eastAsia="宋体" w:cs="宋体"/>
          <w:color w:val="000000"/>
          <w:szCs w:val="21"/>
        </w:rPr>
        <w:t>1.时间</w:t>
      </w:r>
      <w:r>
        <w:rPr>
          <w:rFonts w:hint="eastAsia" w:ascii="宋体" w:hAnsi="宋体" w:eastAsia="宋体" w:cs="宋体"/>
          <w:color w:val="000000"/>
          <w:kern w:val="0"/>
          <w:szCs w:val="21"/>
        </w:rPr>
        <w:t>：</w:t>
      </w:r>
      <w:bookmarkEnd w:id="17"/>
      <w:bookmarkEnd w:id="18"/>
      <w:bookmarkEnd w:id="19"/>
      <w:bookmarkEnd w:id="20"/>
      <w:bookmarkEnd w:id="21"/>
      <w:r>
        <w:rPr>
          <w:rFonts w:hint="eastAsia" w:ascii="宋体" w:hAnsi="宋体" w:eastAsia="宋体" w:cs="宋体"/>
          <w:color w:val="000000"/>
          <w:kern w:val="0"/>
          <w:szCs w:val="21"/>
        </w:rPr>
        <w:t>自招标文件公告发布之日起5个工作日。</w:t>
      </w:r>
    </w:p>
    <w:p w14:paraId="24FCAEEA">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2.地点：“苏采云”系统内免费下载（投标人必须在苏采云系统中获取采购文件，方能参与政府采购项目）；</w:t>
      </w:r>
    </w:p>
    <w:p w14:paraId="0CCF1FA7">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3.方式：本项目采用网上注册登记方式。 </w:t>
      </w:r>
    </w:p>
    <w:p w14:paraId="00FDF894">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4.售价：0元</w:t>
      </w:r>
    </w:p>
    <w:p w14:paraId="2A35EE01">
      <w:pPr>
        <w:pStyle w:val="8"/>
        <w:keepNext/>
        <w:keepLines/>
        <w:spacing w:before="145" w:beforeAutospacing="0" w:after="145" w:afterAutospacing="0" w:line="324" w:lineRule="auto"/>
        <w:ind w:firstLine="498"/>
        <w:jc w:val="both"/>
        <w:rPr>
          <w:rFonts w:ascii="宋体" w:hAnsi="宋体" w:eastAsia="宋体" w:cs="宋体"/>
          <w:sz w:val="21"/>
          <w:szCs w:val="21"/>
        </w:rPr>
      </w:pPr>
      <w:r>
        <w:rPr>
          <w:rFonts w:hint="eastAsia" w:ascii="宋体" w:hAnsi="宋体" w:eastAsia="宋体" w:cs="宋体"/>
          <w:b/>
          <w:color w:val="000000"/>
          <w:sz w:val="21"/>
          <w:szCs w:val="21"/>
        </w:rPr>
        <w:t>四、提交投标文件截止时间、开标时间和地点</w:t>
      </w:r>
    </w:p>
    <w:p w14:paraId="71F86498">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szCs w:val="21"/>
        </w:rPr>
        <w:t>1.</w:t>
      </w:r>
      <w:r>
        <w:rPr>
          <w:rFonts w:hint="eastAsia" w:ascii="宋体" w:hAnsi="宋体" w:eastAsia="宋体" w:cs="宋体"/>
          <w:color w:val="000000"/>
          <w:kern w:val="0"/>
          <w:szCs w:val="21"/>
        </w:rPr>
        <w:t>时间：</w:t>
      </w:r>
      <w:r>
        <w:rPr>
          <w:rFonts w:hint="eastAsia" w:ascii="宋体" w:hAnsi="宋体" w:eastAsia="宋体" w:cs="宋体"/>
          <w:color w:val="000000"/>
          <w:kern w:val="0"/>
          <w:szCs w:val="21"/>
          <w:lang w:val="en-US" w:eastAsia="zh-CN"/>
        </w:rPr>
        <w:t>2025</w:t>
      </w:r>
      <w:r>
        <w:rPr>
          <w:rFonts w:hint="eastAsia" w:ascii="宋体" w:hAnsi="宋体" w:eastAsia="宋体" w:cs="宋体"/>
          <w:color w:val="000000"/>
          <w:kern w:val="0"/>
          <w:szCs w:val="21"/>
        </w:rPr>
        <w:t>年</w:t>
      </w:r>
      <w:r>
        <w:rPr>
          <w:rFonts w:hint="eastAsia" w:ascii="宋体" w:hAnsi="宋体" w:eastAsia="宋体" w:cs="宋体"/>
          <w:color w:val="000000"/>
          <w:kern w:val="0"/>
          <w:szCs w:val="21"/>
          <w:lang w:val="en-US" w:eastAsia="zh-CN"/>
        </w:rPr>
        <w:t>11</w:t>
      </w:r>
      <w:r>
        <w:rPr>
          <w:rFonts w:hint="eastAsia" w:ascii="宋体" w:hAnsi="宋体" w:eastAsia="宋体" w:cs="宋体"/>
          <w:color w:val="000000"/>
          <w:kern w:val="0"/>
          <w:szCs w:val="21"/>
        </w:rPr>
        <w:t>月</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日</w:t>
      </w:r>
      <w:r>
        <w:rPr>
          <w:rFonts w:hint="eastAsia" w:ascii="宋体" w:hAnsi="宋体" w:eastAsia="宋体" w:cs="宋体"/>
          <w:color w:val="000000"/>
          <w:kern w:val="0"/>
          <w:szCs w:val="21"/>
          <w:lang w:val="en-US" w:eastAsia="zh-CN"/>
        </w:rPr>
        <w:t>10点00分</w:t>
      </w:r>
      <w:r>
        <w:rPr>
          <w:rFonts w:hint="eastAsia" w:ascii="宋体" w:hAnsi="宋体" w:eastAsia="宋体" w:cs="宋体"/>
          <w:color w:val="000000"/>
          <w:kern w:val="0"/>
          <w:szCs w:val="21"/>
        </w:rPr>
        <w:t>（北京时间）</w:t>
      </w:r>
    </w:p>
    <w:p w14:paraId="61380474">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2.地点：苏采云“不见面”开标大厅 。</w:t>
      </w:r>
    </w:p>
    <w:p w14:paraId="3D0FC7A8">
      <w:pPr>
        <w:pStyle w:val="8"/>
        <w:keepNext/>
        <w:keepLines/>
        <w:spacing w:before="145" w:beforeAutospacing="0" w:after="145" w:afterAutospacing="0" w:line="324" w:lineRule="auto"/>
        <w:ind w:firstLine="498"/>
        <w:jc w:val="both"/>
        <w:rPr>
          <w:rFonts w:ascii="宋体" w:hAnsi="宋体" w:eastAsia="宋体" w:cs="宋体"/>
          <w:sz w:val="21"/>
          <w:szCs w:val="21"/>
        </w:rPr>
      </w:pPr>
      <w:bookmarkStart w:id="22" w:name="_Toc35393625"/>
      <w:bookmarkStart w:id="23" w:name="_Toc35393794"/>
      <w:bookmarkStart w:id="24" w:name="_Toc38985267"/>
      <w:bookmarkStart w:id="25" w:name="_Toc28359084"/>
      <w:bookmarkStart w:id="26" w:name="_Toc28359007"/>
      <w:r>
        <w:rPr>
          <w:rFonts w:hint="eastAsia" w:ascii="宋体" w:hAnsi="宋体" w:eastAsia="宋体" w:cs="宋体"/>
          <w:b/>
          <w:color w:val="000000"/>
          <w:sz w:val="21"/>
          <w:szCs w:val="21"/>
        </w:rPr>
        <w:t>五、公告期限</w:t>
      </w:r>
      <w:bookmarkEnd w:id="22"/>
      <w:bookmarkEnd w:id="23"/>
      <w:bookmarkEnd w:id="24"/>
      <w:bookmarkEnd w:id="25"/>
      <w:bookmarkEnd w:id="26"/>
    </w:p>
    <w:p w14:paraId="216B58FE">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bookmarkStart w:id="27" w:name="_Toc35393626"/>
      <w:bookmarkStart w:id="28" w:name="_Toc38985268"/>
      <w:bookmarkStart w:id="29" w:name="_Toc35393795"/>
      <w:r>
        <w:rPr>
          <w:rFonts w:hint="eastAsia" w:ascii="宋体" w:hAnsi="宋体" w:eastAsia="宋体" w:cs="宋体"/>
          <w:color w:val="333333"/>
          <w:sz w:val="21"/>
          <w:szCs w:val="21"/>
          <w:shd w:val="clear" w:color="auto" w:fill="FFFFFF"/>
        </w:rPr>
        <w:t>自本公告发布之日起5个工作日。</w:t>
      </w:r>
      <w:bookmarkEnd w:id="27"/>
      <w:bookmarkEnd w:id="28"/>
      <w:bookmarkEnd w:id="29"/>
    </w:p>
    <w:p w14:paraId="2E41BD66">
      <w:pPr>
        <w:pStyle w:val="8"/>
        <w:keepNext/>
        <w:keepLines/>
        <w:spacing w:before="145" w:beforeAutospacing="0" w:after="145" w:afterAutospacing="0" w:line="324" w:lineRule="auto"/>
        <w:ind w:firstLine="498"/>
        <w:jc w:val="both"/>
        <w:rPr>
          <w:rFonts w:ascii="宋体" w:hAnsi="宋体" w:eastAsia="宋体" w:cs="宋体"/>
          <w:sz w:val="21"/>
          <w:szCs w:val="21"/>
        </w:rPr>
      </w:pPr>
      <w:r>
        <w:rPr>
          <w:rFonts w:hint="eastAsia" w:ascii="宋体" w:hAnsi="宋体" w:eastAsia="宋体" w:cs="宋体"/>
          <w:b/>
          <w:color w:val="000000"/>
          <w:sz w:val="21"/>
          <w:szCs w:val="21"/>
        </w:rPr>
        <w:t>六、其他补充事宜</w:t>
      </w:r>
    </w:p>
    <w:p w14:paraId="2B0BC394">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bookmarkStart w:id="30" w:name="_Toc28359018"/>
      <w:r>
        <w:rPr>
          <w:rFonts w:hint="eastAsia" w:ascii="宋体" w:hAnsi="宋体" w:eastAsia="宋体" w:cs="宋体"/>
          <w:color w:val="333333"/>
          <w:sz w:val="21"/>
          <w:szCs w:val="21"/>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D5AD037">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FF2CAD0">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2. 潜在供应商访问电子招标响应交易平台的网络地址和方法： </w:t>
      </w:r>
    </w:p>
    <w:p w14:paraId="405B58B7">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B674571">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2.2 潜在投标人访问“苏采云”系统方法：江苏省政府采购网首页-“苏采云”链接。 </w:t>
      </w:r>
    </w:p>
    <w:p w14:paraId="13DFB52E">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2.3 采购文件（后缀名为“.kedt”）、供应商操作手册及政府采购客户端 工具可通过“苏采云”系统相应链接进行下载。 </w:t>
      </w:r>
    </w:p>
    <w:p w14:paraId="083650E0">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2.4 采购代理机构将数据电文形式的采购文件加载至“苏采云”系统，供潜在供应商下载或者查阅。 </w:t>
      </w:r>
    </w:p>
    <w:p w14:paraId="26C94677">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2.5 请潜在投标单位提前安装相应的控件（详见《“苏采云”系统供应商操作手册》）并使用谷歌浏览器登录“苏采云”系统参与不见面开评标。 </w:t>
      </w:r>
    </w:p>
    <w:p w14:paraId="12A119B3">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如潜在投标人未按上述要求操作，将自行承担所产生的风险。</w:t>
      </w:r>
    </w:p>
    <w:p w14:paraId="4963B308">
      <w:pPr>
        <w:widowControl/>
        <w:spacing w:line="324"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3.有关本次招标的事项若存在变动或修改，敬请及时关注盐城市政府采购人在“中国政府采购网”“江苏政府采购网”“盐城市政府采购网”发布的更正公告。</w:t>
      </w:r>
    </w:p>
    <w:p w14:paraId="10D80CEE">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4.本次招标不收取投标保证金，不收取质量保证金。</w:t>
      </w:r>
    </w:p>
    <w:p w14:paraId="4B74C3D4">
      <w:pPr>
        <w:pStyle w:val="2"/>
        <w:widowControl/>
        <w:shd w:val="clear" w:color="auto" w:fill="FFFFFF"/>
        <w:spacing w:beforeAutospacing="0" w:afterAutospacing="0" w:line="324" w:lineRule="auto"/>
        <w:ind w:firstLine="420" w:firstLineChars="200"/>
        <w:jc w:val="both"/>
        <w:rPr>
          <w:rFonts w:hint="default" w:cs="宋体"/>
          <w:b w:val="0"/>
          <w:bCs w:val="0"/>
          <w:color w:val="333333"/>
          <w:sz w:val="21"/>
          <w:szCs w:val="21"/>
        </w:rPr>
      </w:pPr>
      <w:r>
        <w:rPr>
          <w:rFonts w:cs="宋体"/>
          <w:b w:val="0"/>
          <w:bCs w:val="0"/>
          <w:color w:val="333333"/>
          <w:sz w:val="21"/>
          <w:szCs w:val="21"/>
          <w:shd w:val="clear" w:color="auto" w:fill="FFFFFF"/>
        </w:rPr>
        <w:t>七、对本次招标提出询问，请按以下方式联系。</w:t>
      </w:r>
      <w:bookmarkEnd w:id="30"/>
    </w:p>
    <w:p w14:paraId="59896CC9">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bookmarkStart w:id="31" w:name="_Toc28359009"/>
      <w:r>
        <w:rPr>
          <w:rFonts w:hint="eastAsia" w:ascii="宋体" w:hAnsi="宋体" w:eastAsia="宋体" w:cs="宋体"/>
          <w:color w:val="333333"/>
          <w:sz w:val="21"/>
          <w:szCs w:val="21"/>
          <w:shd w:val="clear" w:color="auto" w:fill="FFFFFF"/>
        </w:rPr>
        <w:t>1.招标人信息</w:t>
      </w:r>
    </w:p>
    <w:p w14:paraId="081F53E2">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名 称：江苏大丰港经济开发区管理委员会  </w:t>
      </w:r>
    </w:p>
    <w:p w14:paraId="34E1B80E">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地址：大丰港区  </w:t>
      </w:r>
    </w:p>
    <w:p w14:paraId="525EB858">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联系人：房嫄              </w:t>
      </w:r>
    </w:p>
    <w:p w14:paraId="16D2D7D8">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联系方式：13851315199            </w:t>
      </w:r>
    </w:p>
    <w:p w14:paraId="31AF4513">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2.招标代理机构信息</w:t>
      </w:r>
    </w:p>
    <w:p w14:paraId="2BF9A7F2">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名 称：江苏易标工程项目管理有限公司</w:t>
      </w:r>
    </w:p>
    <w:p w14:paraId="23ACB1AD">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地 址：大丰区大中街道大新村委会三楼</w:t>
      </w:r>
    </w:p>
    <w:p w14:paraId="33290D9E">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联系人：田婷                     </w:t>
      </w:r>
    </w:p>
    <w:p w14:paraId="48FC4316">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联系方式：</w:t>
      </w:r>
      <w:bookmarkStart w:id="32" w:name="_Toc28359087"/>
      <w:bookmarkStart w:id="33" w:name="_Toc28359010"/>
      <w:r>
        <w:rPr>
          <w:rFonts w:hint="eastAsia" w:ascii="宋体" w:hAnsi="宋体" w:eastAsia="宋体" w:cs="宋体"/>
          <w:color w:val="333333"/>
          <w:sz w:val="21"/>
          <w:szCs w:val="21"/>
          <w:shd w:val="clear" w:color="auto" w:fill="FFFFFF"/>
        </w:rPr>
        <w:t>18761248393       </w:t>
      </w:r>
      <w:bookmarkEnd w:id="32"/>
      <w:bookmarkEnd w:id="33"/>
      <w:r>
        <w:rPr>
          <w:rFonts w:hint="eastAsia" w:ascii="宋体" w:hAnsi="宋体" w:eastAsia="宋体" w:cs="宋体"/>
          <w:color w:val="333333"/>
          <w:sz w:val="21"/>
          <w:szCs w:val="21"/>
          <w:shd w:val="clear" w:color="auto" w:fill="FFFFFF"/>
        </w:rPr>
        <w:t xml:space="preserve">            </w:t>
      </w:r>
    </w:p>
    <w:p w14:paraId="10A670EC">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bookmarkStart w:id="34" w:name="_Toc28359021"/>
      <w:r>
        <w:rPr>
          <w:rFonts w:hint="eastAsia" w:ascii="宋体" w:hAnsi="宋体" w:eastAsia="宋体" w:cs="宋体"/>
          <w:color w:val="333333"/>
          <w:sz w:val="21"/>
          <w:szCs w:val="21"/>
          <w:shd w:val="clear" w:color="auto" w:fill="FFFFFF"/>
        </w:rPr>
        <w:t>3.</w:t>
      </w:r>
      <w:bookmarkEnd w:id="34"/>
      <w:r>
        <w:rPr>
          <w:rFonts w:hint="eastAsia" w:ascii="宋体" w:hAnsi="宋体" w:eastAsia="宋体" w:cs="宋体"/>
          <w:color w:val="333333"/>
          <w:sz w:val="21"/>
          <w:szCs w:val="21"/>
          <w:shd w:val="clear" w:color="auto" w:fill="FFFFFF"/>
        </w:rPr>
        <w:t>项目联系方式</w:t>
      </w:r>
    </w:p>
    <w:p w14:paraId="5C46BD9D">
      <w:pPr>
        <w:pStyle w:val="8"/>
        <w:widowControl/>
        <w:shd w:val="clear" w:color="auto" w:fill="FFFFFF"/>
        <w:spacing w:beforeAutospacing="0" w:afterAutospacing="0" w:line="324" w:lineRule="auto"/>
        <w:ind w:firstLine="560"/>
        <w:jc w:val="both"/>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项目联系人：田婷</w:t>
      </w:r>
    </w:p>
    <w:p w14:paraId="20E50C80">
      <w:pPr>
        <w:pStyle w:val="8"/>
        <w:widowControl/>
        <w:shd w:val="clear" w:color="auto" w:fill="FFFFFF"/>
        <w:spacing w:beforeAutospacing="0" w:afterAutospacing="0" w:line="324" w:lineRule="auto"/>
        <w:ind w:firstLine="560"/>
        <w:jc w:val="both"/>
        <w:rPr>
          <w:rFonts w:ascii="宋体" w:hAnsi="宋体" w:eastAsia="宋体" w:cs="宋体"/>
          <w:color w:val="333333"/>
          <w:shd w:val="clear" w:color="auto" w:fill="FFFFFF"/>
        </w:rPr>
      </w:pPr>
      <w:r>
        <w:rPr>
          <w:rFonts w:hint="eastAsia" w:ascii="宋体" w:hAnsi="宋体" w:eastAsia="宋体" w:cs="宋体"/>
          <w:color w:val="333333"/>
          <w:sz w:val="21"/>
          <w:szCs w:val="21"/>
          <w:shd w:val="clear" w:color="auto" w:fill="FFFFFF"/>
        </w:rPr>
        <w:t>电　　 话：18761248393　</w:t>
      </w:r>
      <w:r>
        <w:rPr>
          <w:rFonts w:hint="eastAsia" w:ascii="宋体" w:hAnsi="宋体" w:eastAsia="宋体" w:cs="宋体"/>
          <w:color w:val="333333"/>
          <w:shd w:val="clear" w:color="auto" w:fill="FFFFFF"/>
        </w:rPr>
        <w:t>　　　　　　　　　　　</w:t>
      </w:r>
    </w:p>
    <w:p w14:paraId="0E1D4386">
      <w:pPr>
        <w:rPr>
          <w:rFonts w:ascii="宋体" w:hAnsi="宋体" w:eastAsia="宋体" w:cs="宋体"/>
          <w:sz w:val="24"/>
        </w:rPr>
      </w:pPr>
      <w:r>
        <w:rPr>
          <w:rFonts w:hint="eastAsia" w:ascii="宋体" w:hAnsi="宋体" w:eastAsia="宋体" w:cs="宋体"/>
          <w:sz w:val="24"/>
        </w:rPr>
        <w:t> </w:t>
      </w:r>
    </w:p>
    <w:p w14:paraId="13B427ED">
      <w:pPr>
        <w:pStyle w:val="8"/>
        <w:spacing w:beforeAutospacing="0" w:afterAutospacing="0"/>
        <w:ind w:right="840"/>
        <w:jc w:val="both"/>
      </w:pPr>
      <w:r>
        <w:rPr>
          <w:rFonts w:hint="eastAsia" w:ascii="宋体" w:hAnsi="宋体" w:eastAsia="宋体" w:cs="宋体"/>
          <w:color w:val="000000"/>
        </w:rPr>
        <w:br w:type="page"/>
      </w:r>
      <w:r>
        <w:rPr>
          <w:rFonts w:hint="eastAsia" w:ascii="宋体" w:hAnsi="宋体" w:eastAsia="宋体" w:cs="宋体"/>
          <w:color w:val="000000"/>
        </w:rPr>
        <w:t> </w:t>
      </w:r>
    </w:p>
    <w:p w14:paraId="016C6413">
      <w:pPr>
        <w:pStyle w:val="8"/>
        <w:keepNext/>
        <w:keepLines/>
        <w:spacing w:before="260" w:beforeAutospacing="0" w:after="260" w:afterAutospacing="0" w:line="415" w:lineRule="auto"/>
        <w:ind w:firstLine="2429"/>
        <w:jc w:val="both"/>
      </w:pPr>
      <w:bookmarkStart w:id="35" w:name="_Toc120614211"/>
      <w:r>
        <w:rPr>
          <w:rFonts w:hint="eastAsia" w:ascii="黑体" w:hAnsi="宋体" w:eastAsia="黑体" w:cs="黑体"/>
          <w:b/>
          <w:color w:val="000000"/>
          <w:sz w:val="44"/>
          <w:szCs w:val="44"/>
        </w:rPr>
        <w:t xml:space="preserve">第二章  </w:t>
      </w:r>
      <w:bookmarkEnd w:id="35"/>
      <w:bookmarkStart w:id="36" w:name="_Toc16938518"/>
      <w:bookmarkStart w:id="37" w:name="_Toc120614213"/>
      <w:bookmarkStart w:id="38" w:name="_Toc20823274"/>
      <w:bookmarkStart w:id="39" w:name="_Toc513029202"/>
      <w:r>
        <w:rPr>
          <w:rFonts w:hint="eastAsia" w:ascii="黑体" w:hAnsi="宋体" w:eastAsia="黑体" w:cs="黑体"/>
          <w:b/>
          <w:color w:val="000000"/>
          <w:sz w:val="44"/>
          <w:szCs w:val="44"/>
        </w:rPr>
        <w:t>投标人须知</w:t>
      </w:r>
      <w:bookmarkEnd w:id="36"/>
      <w:bookmarkEnd w:id="37"/>
      <w:bookmarkEnd w:id="38"/>
      <w:bookmarkEnd w:id="39"/>
    </w:p>
    <w:p w14:paraId="3647F07D">
      <w:pPr>
        <w:pStyle w:val="8"/>
        <w:keepNext/>
        <w:keepLines/>
        <w:spacing w:before="145" w:beforeAutospacing="0" w:after="145" w:afterAutospacing="0" w:line="360" w:lineRule="auto"/>
        <w:ind w:firstLine="498"/>
        <w:jc w:val="both"/>
        <w:rPr>
          <w:rFonts w:ascii="宋体" w:hAnsi="宋体" w:eastAsia="宋体" w:cs="宋体"/>
          <w:sz w:val="21"/>
          <w:szCs w:val="21"/>
        </w:rPr>
      </w:pPr>
      <w:bookmarkStart w:id="40" w:name="_Toc16938519"/>
      <w:bookmarkStart w:id="41" w:name="_Toc120614214"/>
      <w:bookmarkStart w:id="42" w:name="_Toc20823275"/>
      <w:bookmarkStart w:id="43" w:name="_Toc513029203"/>
      <w:r>
        <w:rPr>
          <w:rFonts w:hint="eastAsia" w:ascii="宋体" w:hAnsi="宋体" w:eastAsia="宋体" w:cs="宋体"/>
          <w:b/>
          <w:color w:val="000000"/>
          <w:sz w:val="21"/>
          <w:szCs w:val="21"/>
        </w:rPr>
        <w:t>一、总则</w:t>
      </w:r>
      <w:bookmarkEnd w:id="40"/>
      <w:bookmarkEnd w:id="41"/>
      <w:bookmarkEnd w:id="42"/>
      <w:bookmarkEnd w:id="43"/>
    </w:p>
    <w:p w14:paraId="00E1BF1C">
      <w:pPr>
        <w:pStyle w:val="8"/>
        <w:keepNext/>
        <w:keepLines/>
        <w:spacing w:beforeAutospacing="0" w:afterAutospacing="0" w:line="360" w:lineRule="auto"/>
        <w:ind w:firstLine="420"/>
        <w:jc w:val="both"/>
        <w:rPr>
          <w:rFonts w:ascii="宋体" w:hAnsi="宋体" w:eastAsia="宋体" w:cs="宋体"/>
          <w:sz w:val="21"/>
          <w:szCs w:val="21"/>
        </w:rPr>
      </w:pPr>
      <w:bookmarkStart w:id="44" w:name="_Toc16938520"/>
      <w:bookmarkStart w:id="45" w:name="_Toc513029204"/>
      <w:bookmarkStart w:id="46" w:name="_Toc458694821"/>
      <w:bookmarkStart w:id="47" w:name="_Toc20823276"/>
      <w:bookmarkStart w:id="48" w:name="_Hlt16619475"/>
      <w:r>
        <w:rPr>
          <w:rFonts w:hint="eastAsia" w:ascii="宋体" w:hAnsi="宋体" w:eastAsia="宋体" w:cs="宋体"/>
          <w:color w:val="000000"/>
          <w:sz w:val="21"/>
          <w:szCs w:val="21"/>
        </w:rPr>
        <w:t>1</w:t>
      </w:r>
      <w:bookmarkEnd w:id="44"/>
      <w:r>
        <w:rPr>
          <w:rFonts w:hint="eastAsia" w:ascii="宋体" w:hAnsi="宋体" w:eastAsia="宋体" w:cs="宋体"/>
          <w:color w:val="000000"/>
          <w:sz w:val="21"/>
          <w:szCs w:val="21"/>
        </w:rPr>
        <w:t>、招标方式</w:t>
      </w:r>
      <w:bookmarkEnd w:id="45"/>
      <w:bookmarkEnd w:id="46"/>
      <w:bookmarkEnd w:id="47"/>
    </w:p>
    <w:p w14:paraId="6F6D4FFD">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1.1本次招标采取公开招标方式，本招标文件仅适用于招标公告中所述项目。</w:t>
      </w:r>
    </w:p>
    <w:p w14:paraId="4FA28D4E">
      <w:pPr>
        <w:pStyle w:val="8"/>
        <w:keepNext/>
        <w:keepLines/>
        <w:spacing w:beforeAutospacing="0" w:afterAutospacing="0" w:line="360" w:lineRule="auto"/>
        <w:ind w:firstLine="420"/>
        <w:jc w:val="both"/>
        <w:rPr>
          <w:rFonts w:ascii="宋体" w:hAnsi="宋体" w:eastAsia="宋体" w:cs="宋体"/>
          <w:sz w:val="21"/>
          <w:szCs w:val="21"/>
        </w:rPr>
      </w:pPr>
      <w:bookmarkStart w:id="49" w:name="_Toc20823277"/>
      <w:bookmarkStart w:id="50" w:name="_Toc16938521"/>
      <w:bookmarkStart w:id="51" w:name="_Toc513029205"/>
      <w:r>
        <w:rPr>
          <w:rFonts w:hint="eastAsia" w:ascii="宋体" w:hAnsi="宋体" w:eastAsia="宋体" w:cs="宋体"/>
          <w:color w:val="000000"/>
          <w:sz w:val="21"/>
          <w:szCs w:val="21"/>
        </w:rPr>
        <w:t>2、合格的投标人</w:t>
      </w:r>
      <w:bookmarkEnd w:id="49"/>
      <w:bookmarkEnd w:id="50"/>
      <w:bookmarkEnd w:id="51"/>
    </w:p>
    <w:p w14:paraId="2A13BA09">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2.1满足招标公告中供应商的资格要求的规定。</w:t>
      </w:r>
    </w:p>
    <w:p w14:paraId="51D4B6CC">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2.2满足本文件实质性要求和条件的规定。</w:t>
      </w:r>
    </w:p>
    <w:p w14:paraId="68758D8B">
      <w:pPr>
        <w:pStyle w:val="8"/>
        <w:keepNext/>
        <w:keepLines/>
        <w:spacing w:beforeAutospacing="0" w:afterAutospacing="0" w:line="360" w:lineRule="auto"/>
        <w:ind w:firstLine="420"/>
        <w:jc w:val="both"/>
        <w:rPr>
          <w:rFonts w:ascii="宋体" w:hAnsi="宋体" w:eastAsia="宋体" w:cs="宋体"/>
          <w:sz w:val="21"/>
          <w:szCs w:val="21"/>
        </w:rPr>
      </w:pPr>
      <w:bookmarkStart w:id="52" w:name="_Toc513029206"/>
      <w:bookmarkStart w:id="53" w:name="_Toc16938522"/>
      <w:bookmarkStart w:id="54" w:name="_Toc20823278"/>
      <w:r>
        <w:rPr>
          <w:rFonts w:hint="eastAsia" w:ascii="宋体" w:hAnsi="宋体" w:eastAsia="宋体" w:cs="宋体"/>
          <w:color w:val="000000"/>
          <w:sz w:val="21"/>
          <w:szCs w:val="21"/>
        </w:rPr>
        <w:t>3、适用法律</w:t>
      </w:r>
      <w:bookmarkEnd w:id="52"/>
      <w:bookmarkEnd w:id="53"/>
      <w:bookmarkEnd w:id="54"/>
    </w:p>
    <w:p w14:paraId="00C3FABF">
      <w:pPr>
        <w:pStyle w:val="8"/>
        <w:spacing w:beforeAutospacing="0" w:afterAutospacing="0" w:line="360" w:lineRule="auto"/>
        <w:ind w:firstLine="420"/>
        <w:jc w:val="both"/>
        <w:rPr>
          <w:rFonts w:ascii="宋体" w:hAnsi="宋体" w:eastAsia="宋体" w:cs="宋体"/>
          <w:sz w:val="21"/>
          <w:szCs w:val="21"/>
        </w:rPr>
      </w:pPr>
      <w:r>
        <w:rPr>
          <w:rFonts w:hint="eastAsia" w:ascii="宋体" w:hAnsi="宋体" w:eastAsia="宋体" w:cs="宋体"/>
          <w:color w:val="000000"/>
          <w:sz w:val="21"/>
          <w:szCs w:val="21"/>
        </w:rPr>
        <w:t>3.1本次招标及由此产生的合同受中华人民共和国有关的法律法规制约和保护。</w:t>
      </w:r>
    </w:p>
    <w:p w14:paraId="79771E6A">
      <w:pPr>
        <w:pStyle w:val="8"/>
        <w:keepNext/>
        <w:keepLines/>
        <w:spacing w:beforeAutospacing="0" w:afterAutospacing="0" w:line="360" w:lineRule="auto"/>
        <w:ind w:firstLine="420"/>
        <w:jc w:val="both"/>
        <w:rPr>
          <w:rFonts w:ascii="宋体" w:hAnsi="宋体" w:eastAsia="宋体" w:cs="宋体"/>
          <w:sz w:val="21"/>
          <w:szCs w:val="21"/>
        </w:rPr>
      </w:pPr>
      <w:bookmarkStart w:id="55" w:name="_Toc513029207"/>
      <w:bookmarkStart w:id="56" w:name="_Toc20823279"/>
      <w:bookmarkStart w:id="57" w:name="_Toc16938523"/>
      <w:bookmarkStart w:id="58" w:name="_Toc462564067"/>
      <w:r>
        <w:rPr>
          <w:rFonts w:hint="eastAsia" w:ascii="宋体" w:hAnsi="宋体" w:eastAsia="宋体" w:cs="宋体"/>
          <w:color w:val="000000"/>
          <w:sz w:val="21"/>
          <w:szCs w:val="21"/>
        </w:rPr>
        <w:t>4、投标费用</w:t>
      </w:r>
      <w:bookmarkEnd w:id="55"/>
      <w:bookmarkEnd w:id="56"/>
      <w:bookmarkEnd w:id="57"/>
      <w:bookmarkEnd w:id="58"/>
    </w:p>
    <w:p w14:paraId="69D6CF14">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4.1投标人应自行承担所有与参加投标有关的费用，无论投标过程中的做法和结果如何，采购人在任何情况下均无义务和责任承担这些费用。</w:t>
      </w:r>
    </w:p>
    <w:p w14:paraId="70D32055">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4.2本次招标采购人不收取标书工本费。</w:t>
      </w:r>
    </w:p>
    <w:p w14:paraId="6E8C568F">
      <w:pPr>
        <w:pStyle w:val="8"/>
        <w:keepNext/>
        <w:keepLines/>
        <w:spacing w:beforeAutospacing="0" w:afterAutospacing="0" w:line="360" w:lineRule="auto"/>
        <w:ind w:firstLine="602"/>
        <w:jc w:val="both"/>
        <w:rPr>
          <w:rFonts w:ascii="宋体" w:hAnsi="宋体" w:eastAsia="宋体" w:cs="宋体"/>
          <w:sz w:val="21"/>
          <w:szCs w:val="21"/>
        </w:rPr>
      </w:pPr>
      <w:r>
        <w:rPr>
          <w:rFonts w:hint="eastAsia" w:ascii="宋体" w:hAnsi="宋体" w:eastAsia="宋体" w:cs="宋体"/>
          <w:b/>
          <w:color w:val="000000"/>
          <w:sz w:val="21"/>
          <w:szCs w:val="21"/>
        </w:rPr>
        <w:t>5、</w:t>
      </w:r>
      <w:r>
        <w:rPr>
          <w:rFonts w:hint="eastAsia" w:ascii="宋体" w:hAnsi="宋体" w:eastAsia="宋体" w:cs="宋体"/>
          <w:color w:val="000000"/>
          <w:sz w:val="21"/>
          <w:szCs w:val="21"/>
        </w:rPr>
        <w:t>招标文件的约束力</w:t>
      </w:r>
    </w:p>
    <w:p w14:paraId="18E1AB8E">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5.1投标人一旦参加本项目采购活动，即被认为接受了本招标文件的规定和约束。</w:t>
      </w:r>
    </w:p>
    <w:p w14:paraId="247F26F4">
      <w:pPr>
        <w:pStyle w:val="8"/>
        <w:keepNext/>
        <w:keepLines/>
        <w:spacing w:before="145" w:beforeAutospacing="0" w:after="145" w:afterAutospacing="0" w:line="360" w:lineRule="auto"/>
        <w:ind w:firstLine="321"/>
        <w:jc w:val="both"/>
        <w:rPr>
          <w:rFonts w:ascii="宋体" w:hAnsi="宋体" w:eastAsia="宋体" w:cs="宋体"/>
          <w:sz w:val="21"/>
          <w:szCs w:val="21"/>
        </w:rPr>
      </w:pPr>
      <w:bookmarkStart w:id="59" w:name="_Toc120614215"/>
      <w:bookmarkStart w:id="60" w:name="_Toc513029209"/>
      <w:bookmarkStart w:id="61" w:name="_Toc16938525"/>
      <w:bookmarkStart w:id="62" w:name="_Toc20823281"/>
      <w:r>
        <w:rPr>
          <w:rFonts w:hint="eastAsia" w:ascii="宋体" w:hAnsi="宋体" w:eastAsia="宋体" w:cs="宋体"/>
          <w:b/>
          <w:color w:val="000000"/>
          <w:sz w:val="21"/>
          <w:szCs w:val="21"/>
        </w:rPr>
        <w:t>二、招标文件</w:t>
      </w:r>
      <w:bookmarkEnd w:id="59"/>
      <w:bookmarkEnd w:id="60"/>
      <w:bookmarkEnd w:id="61"/>
      <w:bookmarkEnd w:id="62"/>
    </w:p>
    <w:p w14:paraId="3D06133E">
      <w:pPr>
        <w:pStyle w:val="8"/>
        <w:keepNext/>
        <w:keepLines/>
        <w:spacing w:beforeAutospacing="0" w:afterAutospacing="0" w:line="360" w:lineRule="auto"/>
        <w:ind w:firstLine="420"/>
        <w:jc w:val="both"/>
        <w:rPr>
          <w:rFonts w:ascii="宋体" w:hAnsi="宋体" w:eastAsia="宋体" w:cs="宋体"/>
          <w:sz w:val="21"/>
          <w:szCs w:val="21"/>
        </w:rPr>
      </w:pPr>
      <w:bookmarkStart w:id="63" w:name="_Toc513029210"/>
      <w:bookmarkStart w:id="64" w:name="_Toc20823282"/>
      <w:bookmarkStart w:id="65" w:name="_Toc16938526"/>
      <w:r>
        <w:rPr>
          <w:rFonts w:hint="eastAsia" w:ascii="宋体" w:hAnsi="宋体" w:eastAsia="宋体" w:cs="宋体"/>
          <w:color w:val="000000"/>
          <w:sz w:val="21"/>
          <w:szCs w:val="21"/>
        </w:rPr>
        <w:t>6、招标文件构成</w:t>
      </w:r>
      <w:bookmarkEnd w:id="63"/>
      <w:bookmarkEnd w:id="64"/>
      <w:bookmarkEnd w:id="65"/>
    </w:p>
    <w:p w14:paraId="2D1CF8A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6.1 招标文件由以下部分组成：</w:t>
      </w:r>
    </w:p>
    <w:p w14:paraId="4B7B20CA">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color w:val="000000"/>
          <w:sz w:val="21"/>
          <w:szCs w:val="21"/>
        </w:rPr>
        <w:t>（1）招标公告</w:t>
      </w:r>
    </w:p>
    <w:p w14:paraId="4DA5B93A">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color w:val="000000"/>
          <w:sz w:val="21"/>
          <w:szCs w:val="21"/>
        </w:rPr>
        <w:t>（2）投标人须知</w:t>
      </w:r>
    </w:p>
    <w:p w14:paraId="69BFC9B9">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color w:val="000000"/>
          <w:sz w:val="21"/>
          <w:szCs w:val="21"/>
        </w:rPr>
        <w:t>（3）合同文本</w:t>
      </w:r>
    </w:p>
    <w:p w14:paraId="7DAAAE5F">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color w:val="000000"/>
          <w:sz w:val="21"/>
          <w:szCs w:val="21"/>
        </w:rPr>
        <w:t>（4）采购需求</w:t>
      </w:r>
    </w:p>
    <w:p w14:paraId="17F06F7F">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color w:val="000000"/>
          <w:sz w:val="21"/>
          <w:szCs w:val="21"/>
        </w:rPr>
        <w:t>（5）评标方法与评标标准</w:t>
      </w:r>
    </w:p>
    <w:p w14:paraId="7DF20DB6">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color w:val="000000"/>
          <w:sz w:val="21"/>
          <w:szCs w:val="21"/>
        </w:rPr>
        <w:t>（6）投标文件格式</w:t>
      </w:r>
    </w:p>
    <w:p w14:paraId="4A04F04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请仔细检查招标文件是否齐全，如有缺漏请立即与采购人联系解决。</w:t>
      </w:r>
    </w:p>
    <w:p w14:paraId="3A81F89B">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2B29FA">
      <w:pPr>
        <w:pStyle w:val="8"/>
        <w:keepNext/>
        <w:keepLines/>
        <w:spacing w:beforeAutospacing="0" w:afterAutospacing="0" w:line="360" w:lineRule="auto"/>
        <w:ind w:firstLine="560"/>
        <w:jc w:val="both"/>
        <w:rPr>
          <w:rFonts w:ascii="宋体" w:hAnsi="宋体" w:eastAsia="宋体" w:cs="宋体"/>
          <w:sz w:val="21"/>
          <w:szCs w:val="21"/>
        </w:rPr>
      </w:pPr>
      <w:bookmarkStart w:id="66" w:name="_Toc20823283"/>
      <w:bookmarkStart w:id="67" w:name="_Toc462564070"/>
      <w:bookmarkStart w:id="68" w:name="_Toc513029211"/>
      <w:bookmarkStart w:id="69" w:name="_Toc16938527"/>
      <w:r>
        <w:rPr>
          <w:rFonts w:hint="eastAsia" w:ascii="宋体" w:hAnsi="宋体" w:eastAsia="宋体" w:cs="宋体"/>
          <w:color w:val="000000"/>
          <w:sz w:val="21"/>
          <w:szCs w:val="21"/>
        </w:rPr>
        <w:t>7、招标文件的澄清</w:t>
      </w:r>
      <w:bookmarkEnd w:id="66"/>
      <w:bookmarkEnd w:id="67"/>
      <w:bookmarkEnd w:id="68"/>
      <w:bookmarkEnd w:id="69"/>
    </w:p>
    <w:p w14:paraId="3DF6233A">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7.1任何要求对招标文件进行澄清的投标人，应在投标截止期</w:t>
      </w:r>
      <w:r>
        <w:rPr>
          <w:rFonts w:hint="eastAsia" w:ascii="宋体" w:hAnsi="宋体" w:eastAsia="宋体" w:cs="宋体"/>
          <w:b/>
          <w:color w:val="000000"/>
          <w:sz w:val="21"/>
          <w:szCs w:val="21"/>
        </w:rPr>
        <w:t>十日</w:t>
      </w:r>
      <w:r>
        <w:rPr>
          <w:rFonts w:hint="eastAsia" w:ascii="宋体" w:hAnsi="宋体" w:eastAsia="宋体" w:cs="宋体"/>
          <w:color w:val="000000"/>
          <w:sz w:val="21"/>
          <w:szCs w:val="21"/>
        </w:rPr>
        <w:t>前按招标公告中的通讯地址，以书面形式通知采购人。</w:t>
      </w:r>
    </w:p>
    <w:p w14:paraId="26B245E2">
      <w:pPr>
        <w:pStyle w:val="8"/>
        <w:keepNext/>
        <w:keepLines/>
        <w:spacing w:beforeAutospacing="0" w:afterAutospacing="0" w:line="360" w:lineRule="auto"/>
        <w:ind w:firstLine="560"/>
        <w:jc w:val="both"/>
        <w:rPr>
          <w:rFonts w:ascii="宋体" w:hAnsi="宋体" w:eastAsia="宋体" w:cs="宋体"/>
          <w:sz w:val="21"/>
          <w:szCs w:val="21"/>
        </w:rPr>
      </w:pPr>
      <w:bookmarkStart w:id="70" w:name="_Toc462564071"/>
      <w:bookmarkStart w:id="71" w:name="_Toc20823284"/>
      <w:bookmarkStart w:id="72" w:name="_Toc16938528"/>
      <w:bookmarkStart w:id="73" w:name="_Toc513029212"/>
      <w:r>
        <w:rPr>
          <w:rFonts w:hint="eastAsia" w:ascii="宋体" w:hAnsi="宋体" w:eastAsia="宋体" w:cs="宋体"/>
          <w:color w:val="000000"/>
          <w:sz w:val="21"/>
          <w:szCs w:val="21"/>
        </w:rPr>
        <w:t>8、招标文件的修改</w:t>
      </w:r>
      <w:bookmarkEnd w:id="70"/>
      <w:bookmarkEnd w:id="71"/>
      <w:bookmarkEnd w:id="72"/>
      <w:bookmarkEnd w:id="73"/>
    </w:p>
    <w:p w14:paraId="202FB277">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8.1在投标截止时间前，采购人可以对招标文件进行修改。</w:t>
      </w:r>
    </w:p>
    <w:p w14:paraId="60DE3E05">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8.2采购人有权按照法定的要求推迟投标截止日期和开标日期。</w:t>
      </w:r>
    </w:p>
    <w:p w14:paraId="48FE27E6">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8.3招标文件的修改将在中国政府采购网</w:t>
      </w:r>
      <w:r>
        <w:rPr>
          <w:rFonts w:hint="eastAsia" w:ascii="宋体" w:hAnsi="宋体" w:eastAsia="宋体" w:cs="宋体"/>
          <w:color w:val="333333"/>
          <w:sz w:val="21"/>
          <w:szCs w:val="21"/>
          <w:shd w:val="clear" w:color="auto" w:fill="FFFFFF"/>
        </w:rPr>
        <w:t>、</w:t>
      </w:r>
      <w:r>
        <w:rPr>
          <w:rFonts w:hint="eastAsia" w:ascii="宋体" w:hAnsi="宋体" w:eastAsia="宋体" w:cs="宋体"/>
          <w:color w:val="000000"/>
          <w:sz w:val="21"/>
          <w:szCs w:val="21"/>
        </w:rPr>
        <w:t>江苏政府采购网、盐城市政府采购网公布，补充文件将作为招标文件的组成部分，并对投标人具有约束力。</w:t>
      </w:r>
    </w:p>
    <w:p w14:paraId="594D737A">
      <w:pPr>
        <w:pStyle w:val="8"/>
        <w:keepNext/>
        <w:keepLines/>
        <w:spacing w:before="145" w:beforeAutospacing="0" w:after="145" w:afterAutospacing="0" w:line="360" w:lineRule="auto"/>
        <w:ind w:firstLine="482"/>
        <w:jc w:val="both"/>
        <w:rPr>
          <w:rFonts w:ascii="宋体" w:hAnsi="宋体" w:eastAsia="宋体" w:cs="宋体"/>
          <w:sz w:val="21"/>
          <w:szCs w:val="21"/>
        </w:rPr>
      </w:pPr>
      <w:bookmarkStart w:id="74" w:name="_Toc20823285"/>
      <w:bookmarkStart w:id="75" w:name="_Toc513029213"/>
      <w:bookmarkStart w:id="76" w:name="_Toc462564072"/>
      <w:bookmarkStart w:id="77" w:name="_Toc120614216"/>
      <w:bookmarkStart w:id="78" w:name="_Toc16938529"/>
      <w:r>
        <w:rPr>
          <w:rFonts w:hint="eastAsia" w:ascii="宋体" w:hAnsi="宋体" w:eastAsia="宋体" w:cs="宋体"/>
          <w:b/>
          <w:color w:val="000000"/>
          <w:sz w:val="21"/>
          <w:szCs w:val="21"/>
        </w:rPr>
        <w:t>三、投标文件的编制</w:t>
      </w:r>
      <w:bookmarkEnd w:id="74"/>
      <w:bookmarkEnd w:id="75"/>
      <w:bookmarkEnd w:id="76"/>
      <w:bookmarkEnd w:id="77"/>
      <w:bookmarkEnd w:id="78"/>
    </w:p>
    <w:p w14:paraId="0B53EFC2">
      <w:pPr>
        <w:pStyle w:val="8"/>
        <w:keepNext/>
        <w:keepLines/>
        <w:spacing w:beforeAutospacing="0" w:afterAutospacing="0" w:line="360" w:lineRule="auto"/>
        <w:ind w:firstLine="560"/>
        <w:jc w:val="both"/>
        <w:rPr>
          <w:rFonts w:ascii="宋体" w:hAnsi="宋体" w:eastAsia="宋体" w:cs="宋体"/>
          <w:sz w:val="21"/>
          <w:szCs w:val="21"/>
        </w:rPr>
      </w:pPr>
      <w:bookmarkStart w:id="79" w:name="_Toc513029214"/>
      <w:bookmarkStart w:id="80" w:name="_Toc20823286"/>
      <w:bookmarkStart w:id="81" w:name="_Toc462564073"/>
      <w:bookmarkStart w:id="82" w:name="_Toc16938530"/>
      <w:r>
        <w:rPr>
          <w:rFonts w:hint="eastAsia" w:ascii="宋体" w:hAnsi="宋体" w:eastAsia="宋体" w:cs="宋体"/>
          <w:color w:val="000000"/>
          <w:sz w:val="21"/>
          <w:szCs w:val="21"/>
        </w:rPr>
        <w:t>9、投标文件的语言及度量衡单位</w:t>
      </w:r>
      <w:bookmarkEnd w:id="79"/>
      <w:bookmarkEnd w:id="80"/>
      <w:bookmarkEnd w:id="81"/>
      <w:bookmarkEnd w:id="82"/>
    </w:p>
    <w:p w14:paraId="2E219030">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9.1投标人提交的投标文件以及投标人与采购人就有关投标的所有来往通知、函件和文件均应使用</w:t>
      </w:r>
      <w:r>
        <w:rPr>
          <w:rFonts w:hint="eastAsia" w:ascii="宋体" w:hAnsi="宋体" w:eastAsia="宋体" w:cs="宋体"/>
          <w:b/>
          <w:color w:val="000000"/>
          <w:sz w:val="21"/>
          <w:szCs w:val="21"/>
        </w:rPr>
        <w:t>简体中文</w:t>
      </w:r>
      <w:r>
        <w:rPr>
          <w:rFonts w:hint="eastAsia" w:ascii="宋体" w:hAnsi="宋体" w:eastAsia="宋体" w:cs="宋体"/>
          <w:color w:val="000000"/>
          <w:sz w:val="21"/>
          <w:szCs w:val="21"/>
        </w:rPr>
        <w:t>。</w:t>
      </w:r>
    </w:p>
    <w:p w14:paraId="58A5497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9.2除技术性能另有规定外，投标文件所使用的度量衡单位，均须采用国家法定计量单位。</w:t>
      </w:r>
    </w:p>
    <w:p w14:paraId="57FF633E">
      <w:pPr>
        <w:pStyle w:val="8"/>
        <w:keepNext/>
        <w:keepLines/>
        <w:spacing w:beforeAutospacing="0" w:afterAutospacing="0" w:line="360" w:lineRule="auto"/>
        <w:ind w:firstLine="420"/>
        <w:jc w:val="both"/>
        <w:rPr>
          <w:rFonts w:ascii="宋体" w:hAnsi="宋体" w:eastAsia="宋体" w:cs="宋体"/>
          <w:sz w:val="21"/>
          <w:szCs w:val="21"/>
        </w:rPr>
      </w:pPr>
      <w:bookmarkStart w:id="83" w:name="_Toc513029215"/>
      <w:bookmarkStart w:id="84" w:name="_Toc462564074"/>
      <w:bookmarkStart w:id="85" w:name="_Toc16938531"/>
      <w:bookmarkStart w:id="86" w:name="_Toc20823287"/>
      <w:r>
        <w:rPr>
          <w:rFonts w:hint="eastAsia" w:ascii="宋体" w:hAnsi="宋体" w:eastAsia="宋体" w:cs="宋体"/>
          <w:color w:val="000000"/>
          <w:sz w:val="21"/>
          <w:szCs w:val="21"/>
        </w:rPr>
        <w:t>10、投标文件构成</w:t>
      </w:r>
      <w:bookmarkEnd w:id="83"/>
      <w:bookmarkEnd w:id="84"/>
      <w:bookmarkEnd w:id="85"/>
      <w:bookmarkEnd w:id="86"/>
    </w:p>
    <w:p w14:paraId="7B8F30A4">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10.1投标人编写的投标文件应包括资格证明文件、符合性证明文件、投标分项报价表、技术要求响应及偏离表、商务要求响应及偏离表、其他证明文件、投标函、开标一览表等部分。</w:t>
      </w:r>
    </w:p>
    <w:p w14:paraId="3F49EBBB">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10.2如标书制作工具中格式和内容与</w:t>
      </w:r>
      <w:r>
        <w:rPr>
          <w:rFonts w:hint="eastAsia" w:ascii="宋体" w:hAnsi="宋体" w:eastAsia="宋体" w:cs="宋体"/>
          <w:color w:val="333333"/>
          <w:sz w:val="21"/>
          <w:szCs w:val="21"/>
          <w:shd w:val="clear" w:color="auto" w:fill="FFFFFF"/>
        </w:rPr>
        <w:t>“</w:t>
      </w:r>
      <w:r>
        <w:rPr>
          <w:rFonts w:hint="eastAsia" w:ascii="宋体" w:hAnsi="宋体" w:eastAsia="宋体" w:cs="宋体"/>
          <w:color w:val="000000"/>
          <w:sz w:val="21"/>
          <w:szCs w:val="21"/>
        </w:rPr>
        <w:t>中国政府采购网”“江苏政府采购网”“盐城市政府采购网”发布的招标文件不一致，请以</w:t>
      </w:r>
      <w:r>
        <w:rPr>
          <w:rFonts w:hint="eastAsia" w:ascii="宋体" w:hAnsi="宋体" w:eastAsia="宋体" w:cs="宋体"/>
          <w:color w:val="333333"/>
          <w:sz w:val="21"/>
          <w:szCs w:val="21"/>
          <w:shd w:val="clear" w:color="auto" w:fill="FFFFFF"/>
        </w:rPr>
        <w:t>“</w:t>
      </w:r>
      <w:r>
        <w:rPr>
          <w:rFonts w:hint="eastAsia" w:ascii="宋体" w:hAnsi="宋体" w:eastAsia="宋体" w:cs="宋体"/>
          <w:color w:val="000000"/>
          <w:sz w:val="21"/>
          <w:szCs w:val="21"/>
        </w:rPr>
        <w:t>中国政府采购网”“江苏政府采购网”“盐城市政府采购网”发布的招标文件为准。</w:t>
      </w:r>
    </w:p>
    <w:p w14:paraId="11E52AFF">
      <w:pPr>
        <w:pStyle w:val="8"/>
        <w:keepNext/>
        <w:keepLines/>
        <w:spacing w:beforeAutospacing="0" w:afterAutospacing="0" w:line="360" w:lineRule="auto"/>
        <w:ind w:firstLine="420"/>
        <w:jc w:val="both"/>
        <w:rPr>
          <w:rFonts w:ascii="宋体" w:hAnsi="宋体" w:eastAsia="宋体" w:cs="宋体"/>
          <w:sz w:val="21"/>
          <w:szCs w:val="21"/>
        </w:rPr>
      </w:pPr>
      <w:bookmarkStart w:id="87" w:name="_Toc49090509"/>
      <w:bookmarkStart w:id="88" w:name="_Toc513029216"/>
      <w:bookmarkStart w:id="89" w:name="_Toc49090507"/>
      <w:bookmarkStart w:id="90" w:name="_Toc14577357"/>
      <w:bookmarkStart w:id="91" w:name="_Toc14577354"/>
      <w:bookmarkStart w:id="92" w:name="_Toc513029219"/>
      <w:bookmarkStart w:id="93" w:name="_Hlt26668975"/>
      <w:bookmarkStart w:id="94" w:name="_Hlt26954838"/>
      <w:bookmarkStart w:id="95" w:name="_Hlt26670360"/>
      <w:r>
        <w:rPr>
          <w:rFonts w:hint="eastAsia" w:ascii="宋体" w:hAnsi="宋体" w:eastAsia="宋体" w:cs="宋体"/>
          <w:color w:val="000000"/>
          <w:sz w:val="21"/>
          <w:szCs w:val="21"/>
        </w:rPr>
        <w:t>11、证明投标人及投标标的符合招标文件规定的文件</w:t>
      </w:r>
      <w:bookmarkEnd w:id="87"/>
      <w:bookmarkEnd w:id="88"/>
      <w:bookmarkEnd w:id="89"/>
      <w:bookmarkEnd w:id="90"/>
      <w:bookmarkEnd w:id="91"/>
      <w:bookmarkEnd w:id="92"/>
    </w:p>
    <w:p w14:paraId="1FAF25BF">
      <w:pPr>
        <w:pStyle w:val="8"/>
        <w:spacing w:beforeAutospacing="0" w:afterAutospacing="0" w:line="360" w:lineRule="auto"/>
        <w:jc w:val="both"/>
        <w:rPr>
          <w:rFonts w:ascii="宋体" w:hAnsi="宋体" w:eastAsia="宋体" w:cs="宋体"/>
          <w:sz w:val="21"/>
          <w:szCs w:val="21"/>
        </w:rPr>
      </w:pPr>
      <w:bookmarkStart w:id="96" w:name="_Toc14577355"/>
      <w:bookmarkStart w:id="97" w:name="_Toc49090508"/>
      <w:r>
        <w:rPr>
          <w:rFonts w:hint="eastAsia" w:ascii="宋体" w:hAnsi="宋体" w:eastAsia="宋体" w:cs="宋体"/>
          <w:color w:val="000000"/>
          <w:sz w:val="21"/>
          <w:szCs w:val="21"/>
        </w:rPr>
        <w:t>  11.1投标人应按照法律、法规、规章和规范性文件以及招标文件要求提交证明文件，证明其及投标标的符合招标文件规定。</w:t>
      </w:r>
      <w:bookmarkEnd w:id="96"/>
      <w:bookmarkEnd w:id="97"/>
    </w:p>
    <w:p w14:paraId="1D47D134">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11.2招标文件对证明文件无明确形式要求的，证明文件可以以文字资料、图纸和数据等形式提交。</w:t>
      </w:r>
    </w:p>
    <w:p w14:paraId="67316FEF">
      <w:pPr>
        <w:pStyle w:val="8"/>
        <w:keepNext/>
        <w:keepLines/>
        <w:spacing w:beforeAutospacing="0" w:afterAutospacing="0" w:line="360" w:lineRule="auto"/>
        <w:ind w:firstLine="420"/>
        <w:jc w:val="both"/>
        <w:rPr>
          <w:rFonts w:ascii="宋体" w:hAnsi="宋体" w:eastAsia="宋体" w:cs="宋体"/>
          <w:sz w:val="21"/>
          <w:szCs w:val="21"/>
        </w:rPr>
      </w:pPr>
      <w:r>
        <w:rPr>
          <w:rFonts w:hint="eastAsia" w:ascii="宋体" w:hAnsi="宋体" w:eastAsia="宋体" w:cs="宋体"/>
          <w:color w:val="000000"/>
          <w:sz w:val="21"/>
          <w:szCs w:val="21"/>
        </w:rPr>
        <w:t>12、投标分项报价</w:t>
      </w:r>
      <w:bookmarkStart w:id="98" w:name="_Hlt26670373"/>
      <w:r>
        <w:rPr>
          <w:rFonts w:hint="eastAsia" w:ascii="宋体" w:hAnsi="宋体" w:eastAsia="宋体" w:cs="宋体"/>
          <w:color w:val="000000"/>
          <w:sz w:val="21"/>
          <w:szCs w:val="21"/>
        </w:rPr>
        <w:t>表</w:t>
      </w:r>
    </w:p>
    <w:p w14:paraId="6EA01EEE">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12.1投</w:t>
      </w:r>
      <w:bookmarkStart w:id="99" w:name="_Hlt26954840"/>
      <w:r>
        <w:rPr>
          <w:rFonts w:hint="eastAsia" w:ascii="宋体" w:hAnsi="宋体" w:eastAsia="宋体" w:cs="宋体"/>
          <w:color w:val="000000"/>
          <w:sz w:val="21"/>
          <w:szCs w:val="21"/>
        </w:rPr>
        <w:t>标人应按照招标文件规定格式填报投标分项报价表</w:t>
      </w:r>
      <w:bookmarkStart w:id="100" w:name="_Hlt26670399"/>
      <w:r>
        <w:rPr>
          <w:rFonts w:hint="eastAsia" w:ascii="宋体" w:hAnsi="宋体" w:eastAsia="宋体" w:cs="宋体"/>
          <w:color w:val="000000"/>
          <w:sz w:val="21"/>
          <w:szCs w:val="21"/>
        </w:rPr>
        <w:t>。</w:t>
      </w:r>
    </w:p>
    <w:p w14:paraId="0FCF7B0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12.2投标货币。投标文件中的单价和总价无特殊规定的采用人民币报价，以元为单位标注。招标文件中另有规定的按规定执行。</w:t>
      </w:r>
    </w:p>
    <w:p w14:paraId="25AEE0F5">
      <w:pPr>
        <w:pStyle w:val="8"/>
        <w:keepNext/>
        <w:keepLines/>
        <w:spacing w:beforeAutospacing="0" w:afterAutospacing="0" w:line="360" w:lineRule="auto"/>
        <w:ind w:firstLine="420"/>
        <w:jc w:val="both"/>
        <w:rPr>
          <w:rFonts w:ascii="宋体" w:hAnsi="宋体" w:eastAsia="宋体" w:cs="宋体"/>
          <w:sz w:val="21"/>
          <w:szCs w:val="21"/>
        </w:rPr>
      </w:pPr>
      <w:bookmarkStart w:id="101" w:name="_Hlt26954842"/>
      <w:bookmarkStart w:id="102" w:name="_Hlt26670486"/>
      <w:bookmarkStart w:id="103" w:name="_Hlt26670403"/>
      <w:bookmarkStart w:id="104" w:name="_Hlt26954844"/>
      <w:bookmarkStart w:id="105" w:name="_Hlt26670482"/>
      <w:bookmarkStart w:id="106" w:name="_Hlt26954846"/>
      <w:bookmarkStart w:id="107" w:name="_Hlt26954848"/>
      <w:bookmarkStart w:id="108" w:name="_Hlt26670425"/>
      <w:bookmarkStart w:id="109" w:name="_Hlt26668983"/>
      <w:bookmarkStart w:id="110" w:name="_Hlt26954731"/>
      <w:r>
        <w:rPr>
          <w:rFonts w:hint="eastAsia" w:ascii="宋体" w:hAnsi="宋体" w:eastAsia="宋体" w:cs="宋体"/>
          <w:color w:val="000000"/>
          <w:sz w:val="21"/>
          <w:szCs w:val="21"/>
        </w:rPr>
        <w:t>13、技术要求响应及偏离表、商务要求响应及偏离表</w:t>
      </w:r>
    </w:p>
    <w:p w14:paraId="40F8D9B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13.1投标人需对招标文件中的技术要求与商务要求逐项作出响应或偏离，并说明原因。</w:t>
      </w:r>
    </w:p>
    <w:p w14:paraId="25C4281B">
      <w:pPr>
        <w:pStyle w:val="8"/>
        <w:tabs>
          <w:tab w:val="left" w:pos="1036"/>
        </w:tabs>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13.2投标人可在投标文件中提供认为需要的其他技术文件或说明。</w:t>
      </w:r>
    </w:p>
    <w:p w14:paraId="71434E40">
      <w:pPr>
        <w:pStyle w:val="8"/>
        <w:keepNext/>
        <w:keepLines/>
        <w:spacing w:beforeAutospacing="0" w:afterAutospacing="0" w:line="360" w:lineRule="auto"/>
        <w:ind w:firstLine="420"/>
        <w:jc w:val="both"/>
        <w:rPr>
          <w:rFonts w:ascii="宋体" w:hAnsi="宋体" w:eastAsia="宋体" w:cs="宋体"/>
          <w:sz w:val="21"/>
          <w:szCs w:val="21"/>
        </w:rPr>
      </w:pPr>
      <w:bookmarkStart w:id="111" w:name="_Toc14577359"/>
      <w:bookmarkStart w:id="112" w:name="_Toc49090510"/>
      <w:r>
        <w:rPr>
          <w:rFonts w:hint="eastAsia" w:ascii="宋体" w:hAnsi="宋体" w:eastAsia="宋体" w:cs="宋体"/>
          <w:color w:val="000000"/>
          <w:sz w:val="21"/>
          <w:szCs w:val="21"/>
        </w:rPr>
        <w:t>14、投标函和开标一览表</w:t>
      </w:r>
      <w:bookmarkEnd w:id="111"/>
      <w:bookmarkEnd w:id="112"/>
    </w:p>
    <w:p w14:paraId="3E1DE12A">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14.1投标人应按照招标文件中提供的格式完整、正确填写投标函、开标一览表。</w:t>
      </w:r>
    </w:p>
    <w:p w14:paraId="1B53E219">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1"/>
          <w:szCs w:val="21"/>
        </w:rPr>
        <w:t>。</w:t>
      </w:r>
    </w:p>
    <w:p w14:paraId="7C15AAC0">
      <w:pPr>
        <w:pStyle w:val="8"/>
        <w:keepNext/>
        <w:keepLines/>
        <w:spacing w:beforeAutospacing="0" w:afterAutospacing="0" w:line="360" w:lineRule="auto"/>
        <w:ind w:firstLine="420"/>
        <w:jc w:val="both"/>
        <w:rPr>
          <w:rFonts w:ascii="宋体" w:hAnsi="宋体" w:eastAsia="宋体" w:cs="宋体"/>
          <w:sz w:val="21"/>
          <w:szCs w:val="21"/>
        </w:rPr>
      </w:pPr>
      <w:bookmarkStart w:id="113" w:name="_Toc49090511"/>
      <w:bookmarkStart w:id="114" w:name="_Toc14577360"/>
      <w:bookmarkStart w:id="115" w:name="_Hlt26954734"/>
      <w:bookmarkStart w:id="116" w:name="_Hlt26670489"/>
      <w:bookmarkStart w:id="117" w:name="_Hlt26954850"/>
      <w:r>
        <w:rPr>
          <w:rFonts w:hint="eastAsia" w:ascii="宋体" w:hAnsi="宋体" w:eastAsia="宋体" w:cs="宋体"/>
          <w:color w:val="000000"/>
          <w:sz w:val="21"/>
          <w:szCs w:val="21"/>
        </w:rPr>
        <w:t>15、投标有效期</w:t>
      </w:r>
      <w:bookmarkEnd w:id="113"/>
      <w:bookmarkEnd w:id="114"/>
    </w:p>
    <w:p w14:paraId="66448780">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15.1投标有效期为采购人规定的开标之日后</w:t>
      </w:r>
      <w:r>
        <w:rPr>
          <w:rFonts w:hint="eastAsia" w:ascii="宋体" w:hAnsi="宋体" w:eastAsia="宋体" w:cs="宋体"/>
          <w:b/>
          <w:sz w:val="21"/>
          <w:szCs w:val="21"/>
          <w:u w:val="single"/>
        </w:rPr>
        <w:t>九十（90）天</w:t>
      </w:r>
      <w:r>
        <w:rPr>
          <w:rFonts w:hint="eastAsia" w:ascii="宋体" w:hAnsi="宋体" w:eastAsia="宋体" w:cs="宋体"/>
          <w:color w:val="000000"/>
          <w:sz w:val="21"/>
          <w:szCs w:val="21"/>
        </w:rPr>
        <w:t>。投标有效期比规定短的将被视为未实质性响应招标文件而予以拒绝。</w:t>
      </w:r>
    </w:p>
    <w:p w14:paraId="6E0F2E29">
      <w:pPr>
        <w:pStyle w:val="8"/>
        <w:keepNext/>
        <w:keepLines/>
        <w:spacing w:beforeAutospacing="0" w:afterAutospacing="0" w:line="360" w:lineRule="auto"/>
        <w:ind w:firstLine="420"/>
        <w:jc w:val="both"/>
        <w:rPr>
          <w:rFonts w:ascii="宋体" w:hAnsi="宋体" w:eastAsia="宋体" w:cs="宋体"/>
          <w:sz w:val="21"/>
          <w:szCs w:val="21"/>
        </w:rPr>
      </w:pPr>
      <w:r>
        <w:rPr>
          <w:rFonts w:hint="eastAsia" w:ascii="宋体" w:hAnsi="宋体" w:eastAsia="宋体" w:cs="宋体"/>
          <w:color w:val="000000"/>
          <w:sz w:val="21"/>
          <w:szCs w:val="21"/>
        </w:rPr>
        <w:t>16、投标有效期的延长</w:t>
      </w:r>
    </w:p>
    <w:p w14:paraId="576AD3FA">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38530C0A">
      <w:pPr>
        <w:pStyle w:val="8"/>
        <w:keepNext/>
        <w:keepLines/>
        <w:spacing w:before="145" w:beforeAutospacing="0" w:after="145" w:afterAutospacing="0" w:line="360" w:lineRule="auto"/>
        <w:ind w:firstLine="482"/>
        <w:jc w:val="both"/>
        <w:rPr>
          <w:rFonts w:ascii="宋体" w:hAnsi="宋体" w:eastAsia="宋体" w:cs="宋体"/>
          <w:sz w:val="21"/>
          <w:szCs w:val="21"/>
        </w:rPr>
      </w:pPr>
      <w:bookmarkStart w:id="118" w:name="_Toc16938540"/>
      <w:bookmarkStart w:id="119" w:name="_Toc120614217"/>
      <w:bookmarkStart w:id="120" w:name="_Toc20823296"/>
      <w:bookmarkStart w:id="121" w:name="_Toc513029224"/>
      <w:bookmarkStart w:id="122" w:name="_Hlt26954852"/>
      <w:bookmarkStart w:id="123" w:name="_Hlt26954739"/>
      <w:r>
        <w:rPr>
          <w:rFonts w:hint="eastAsia" w:ascii="宋体" w:hAnsi="宋体" w:eastAsia="宋体" w:cs="宋体"/>
          <w:b/>
          <w:color w:val="000000"/>
          <w:sz w:val="21"/>
          <w:szCs w:val="21"/>
        </w:rPr>
        <w:t>四、投标文件的递交</w:t>
      </w:r>
      <w:bookmarkEnd w:id="118"/>
      <w:bookmarkEnd w:id="119"/>
      <w:bookmarkEnd w:id="120"/>
      <w:bookmarkEnd w:id="121"/>
    </w:p>
    <w:p w14:paraId="6501BCE3">
      <w:pPr>
        <w:pStyle w:val="8"/>
        <w:keepNext/>
        <w:keepLines/>
        <w:spacing w:beforeAutospacing="0" w:afterAutospacing="0" w:line="360" w:lineRule="auto"/>
        <w:ind w:firstLine="560"/>
        <w:jc w:val="both"/>
        <w:rPr>
          <w:rFonts w:ascii="宋体" w:hAnsi="宋体" w:eastAsia="宋体" w:cs="宋体"/>
          <w:sz w:val="21"/>
          <w:szCs w:val="21"/>
        </w:rPr>
      </w:pPr>
      <w:bookmarkStart w:id="124" w:name="_Toc20823297"/>
      <w:bookmarkStart w:id="125" w:name="_Toc16938541"/>
      <w:bookmarkStart w:id="126" w:name="_Toc462564084"/>
      <w:bookmarkStart w:id="127" w:name="_Toc513029225"/>
      <w:r>
        <w:rPr>
          <w:rFonts w:hint="eastAsia" w:ascii="宋体" w:hAnsi="宋体" w:eastAsia="宋体" w:cs="宋体"/>
          <w:color w:val="000000"/>
          <w:sz w:val="21"/>
          <w:szCs w:val="21"/>
        </w:rPr>
        <w:t>17、投标文件</w:t>
      </w:r>
      <w:bookmarkEnd w:id="124"/>
      <w:bookmarkEnd w:id="125"/>
      <w:bookmarkEnd w:id="126"/>
      <w:bookmarkEnd w:id="127"/>
      <w:r>
        <w:rPr>
          <w:rFonts w:hint="eastAsia" w:ascii="宋体" w:hAnsi="宋体" w:eastAsia="宋体" w:cs="宋体"/>
          <w:color w:val="000000"/>
          <w:sz w:val="21"/>
          <w:szCs w:val="21"/>
        </w:rPr>
        <w:t>的递交</w:t>
      </w:r>
    </w:p>
    <w:p w14:paraId="0EB847D4">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17.1 电子投标文件的递交</w:t>
      </w:r>
    </w:p>
    <w:p w14:paraId="4EA8510E">
      <w:pPr>
        <w:pStyle w:val="8"/>
        <w:spacing w:beforeAutospacing="0" w:afterAutospacing="0" w:line="360" w:lineRule="auto"/>
        <w:ind w:left="525"/>
        <w:jc w:val="both"/>
        <w:rPr>
          <w:rFonts w:ascii="宋体" w:hAnsi="宋体" w:eastAsia="宋体" w:cs="宋体"/>
          <w:sz w:val="21"/>
          <w:szCs w:val="21"/>
        </w:rPr>
      </w:pPr>
      <w:r>
        <w:rPr>
          <w:rFonts w:hint="eastAsia" w:ascii="宋体" w:hAnsi="宋体" w:eastAsia="宋体" w:cs="宋体"/>
          <w:color w:val="000000"/>
          <w:sz w:val="21"/>
          <w:szCs w:val="21"/>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2A3A530A">
      <w:pPr>
        <w:pStyle w:val="8"/>
        <w:keepNext/>
        <w:keepLines/>
        <w:spacing w:before="280" w:beforeAutospacing="0" w:after="290" w:afterAutospacing="0" w:line="360" w:lineRule="auto"/>
        <w:ind w:firstLine="420"/>
        <w:jc w:val="both"/>
        <w:rPr>
          <w:rFonts w:ascii="宋体" w:hAnsi="宋体" w:eastAsia="宋体" w:cs="宋体"/>
          <w:sz w:val="21"/>
          <w:szCs w:val="21"/>
        </w:rPr>
      </w:pPr>
      <w:r>
        <w:rPr>
          <w:rFonts w:hint="eastAsia" w:ascii="宋体" w:hAnsi="宋体" w:eastAsia="宋体" w:cs="宋体"/>
          <w:color w:val="000000"/>
          <w:sz w:val="21"/>
          <w:szCs w:val="21"/>
        </w:rPr>
        <w:t>18、投标截止时间</w:t>
      </w:r>
    </w:p>
    <w:p w14:paraId="1A906F04">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i/>
          <w:color w:val="000000"/>
          <w:sz w:val="21"/>
          <w:szCs w:val="21"/>
          <w:u w:val="single"/>
        </w:rPr>
        <w:t>18.1投标人上传电子投标文件的时间不得迟于招标公告中规定的投标截止时间。</w:t>
      </w:r>
    </w:p>
    <w:p w14:paraId="31FFB1C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投标人应充分考虑到网络环境、网络带宽等风险因素，如因投标人自身原因造成的电子投标文件上传不成功的按照本招标文件第二章第26.1.2条 规定做无效投标处理。</w:t>
      </w:r>
    </w:p>
    <w:p w14:paraId="3953605B">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18.2采购人可以按照规定，通过修改招标文件酌情延长投标截止时间，在此情况下，投标人的所有权利和义务以及投标人受制的截止时间均应以延长后新的截止时间为准。</w:t>
      </w:r>
    </w:p>
    <w:p w14:paraId="4EA446B8">
      <w:pPr>
        <w:pStyle w:val="8"/>
        <w:keepNext/>
        <w:keepLines/>
        <w:spacing w:beforeAutospacing="0" w:afterAutospacing="0" w:line="360" w:lineRule="auto"/>
        <w:ind w:firstLine="420"/>
        <w:jc w:val="both"/>
        <w:rPr>
          <w:rFonts w:ascii="宋体" w:hAnsi="宋体" w:eastAsia="宋体" w:cs="宋体"/>
          <w:sz w:val="21"/>
          <w:szCs w:val="21"/>
        </w:rPr>
      </w:pPr>
      <w:bookmarkStart w:id="131" w:name="_Toc513029227"/>
      <w:bookmarkStart w:id="132" w:name="_Toc16938543"/>
      <w:bookmarkStart w:id="133" w:name="_Toc20823299"/>
      <w:r>
        <w:rPr>
          <w:rFonts w:hint="eastAsia" w:ascii="宋体" w:hAnsi="宋体" w:eastAsia="宋体" w:cs="宋体"/>
          <w:color w:val="000000"/>
          <w:sz w:val="21"/>
          <w:szCs w:val="21"/>
        </w:rPr>
        <w:t>19、投标文件</w:t>
      </w:r>
      <w:bookmarkEnd w:id="131"/>
      <w:bookmarkEnd w:id="132"/>
      <w:bookmarkEnd w:id="133"/>
      <w:r>
        <w:rPr>
          <w:rFonts w:hint="eastAsia" w:ascii="宋体" w:hAnsi="宋体" w:eastAsia="宋体" w:cs="宋体"/>
          <w:color w:val="000000"/>
          <w:sz w:val="21"/>
          <w:szCs w:val="21"/>
        </w:rPr>
        <w:t>的拒收</w:t>
      </w:r>
    </w:p>
    <w:p w14:paraId="0F39DB8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19.1采购人拒绝接收在其规定的投标截止时间后上传的任何投标文件。</w:t>
      </w:r>
    </w:p>
    <w:p w14:paraId="39A6DBD3">
      <w:pPr>
        <w:pStyle w:val="8"/>
        <w:keepNext/>
        <w:keepLines/>
        <w:spacing w:beforeAutospacing="0" w:afterAutospacing="0" w:line="360" w:lineRule="auto"/>
        <w:ind w:firstLine="420"/>
        <w:jc w:val="both"/>
        <w:rPr>
          <w:rFonts w:ascii="宋体" w:hAnsi="宋体" w:eastAsia="宋体" w:cs="宋体"/>
          <w:sz w:val="21"/>
          <w:szCs w:val="21"/>
        </w:rPr>
      </w:pPr>
      <w:bookmarkStart w:id="134" w:name="_Toc16938544"/>
      <w:bookmarkStart w:id="135" w:name="_Toc513029228"/>
      <w:bookmarkStart w:id="136" w:name="_Toc20823300"/>
      <w:r>
        <w:rPr>
          <w:rFonts w:hint="eastAsia" w:ascii="宋体" w:hAnsi="宋体" w:eastAsia="宋体" w:cs="宋体"/>
          <w:color w:val="000000"/>
          <w:sz w:val="21"/>
          <w:szCs w:val="21"/>
        </w:rPr>
        <w:t>20、投标文件的撤回和修改</w:t>
      </w:r>
      <w:bookmarkEnd w:id="134"/>
      <w:bookmarkEnd w:id="135"/>
      <w:bookmarkEnd w:id="136"/>
    </w:p>
    <w:p w14:paraId="514C001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20.1投标文件的撤回</w:t>
      </w:r>
    </w:p>
    <w:p w14:paraId="6BABAB3F">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20.1.1电子投标文件的撤回</w:t>
      </w:r>
    </w:p>
    <w:p w14:paraId="33D581A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投标人可在投标截止时间前，撤回其电子投标文件，具体操作方法见《操作手册》。</w:t>
      </w:r>
    </w:p>
    <w:p w14:paraId="20DACD24">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20.1.2投标人撤回电子投标文件，则认为其不再参与本项目投标活动。</w:t>
      </w:r>
    </w:p>
    <w:p w14:paraId="04FC94C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20.2 投标文件的修改</w:t>
      </w:r>
    </w:p>
    <w:p w14:paraId="68E460B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20.2.1投标人可在投标截止时间前，对其电子投标文件进行修改，具体操作方法见《操作手册》。</w:t>
      </w:r>
    </w:p>
    <w:p w14:paraId="1C5E74AB">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20.2.2在投标截止时间之后，投标人不得对其电子投标文件作任何修改。</w:t>
      </w:r>
    </w:p>
    <w:p w14:paraId="6EAE7C17">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20.3在投标截止时间至招标文件中规定的投标有效期满之间的这段时间内，投标人不得撤回其投标。</w:t>
      </w:r>
    </w:p>
    <w:p w14:paraId="36DB727F">
      <w:pPr>
        <w:pStyle w:val="8"/>
        <w:keepNext/>
        <w:keepLines/>
        <w:spacing w:before="145" w:beforeAutospacing="0" w:after="145" w:afterAutospacing="0" w:line="360" w:lineRule="auto"/>
        <w:ind w:firstLine="482"/>
        <w:jc w:val="both"/>
        <w:rPr>
          <w:rFonts w:ascii="宋体" w:hAnsi="宋体" w:eastAsia="宋体" w:cs="宋体"/>
          <w:sz w:val="21"/>
          <w:szCs w:val="21"/>
        </w:rPr>
      </w:pPr>
      <w:bookmarkStart w:id="137" w:name="_Toc20823301"/>
      <w:bookmarkStart w:id="138" w:name="_Toc513029229"/>
      <w:bookmarkStart w:id="139" w:name="_Toc16938545"/>
      <w:bookmarkStart w:id="140" w:name="_Toc120614218"/>
      <w:r>
        <w:rPr>
          <w:rFonts w:hint="eastAsia" w:ascii="宋体" w:hAnsi="宋体" w:eastAsia="宋体" w:cs="宋体"/>
          <w:b/>
          <w:color w:val="000000"/>
          <w:sz w:val="21"/>
          <w:szCs w:val="21"/>
        </w:rPr>
        <w:t>五、开标与评标</w:t>
      </w:r>
      <w:bookmarkEnd w:id="137"/>
      <w:bookmarkEnd w:id="138"/>
      <w:bookmarkEnd w:id="139"/>
      <w:bookmarkEnd w:id="140"/>
    </w:p>
    <w:p w14:paraId="1BC43A98">
      <w:pPr>
        <w:pStyle w:val="8"/>
        <w:keepNext/>
        <w:keepLines/>
        <w:spacing w:beforeAutospacing="0" w:afterAutospacing="0" w:line="360" w:lineRule="auto"/>
        <w:ind w:firstLine="420"/>
        <w:jc w:val="both"/>
        <w:rPr>
          <w:rFonts w:ascii="宋体" w:hAnsi="宋体" w:eastAsia="宋体" w:cs="宋体"/>
          <w:sz w:val="21"/>
          <w:szCs w:val="21"/>
        </w:rPr>
      </w:pPr>
      <w:bookmarkStart w:id="141" w:name="_Toc20823302"/>
      <w:bookmarkStart w:id="142" w:name="_Toc16938546"/>
      <w:bookmarkStart w:id="143" w:name="_Toc513029230"/>
      <w:r>
        <w:rPr>
          <w:rFonts w:hint="eastAsia" w:ascii="宋体" w:hAnsi="宋体" w:eastAsia="宋体" w:cs="宋体"/>
          <w:sz w:val="21"/>
          <w:szCs w:val="21"/>
        </w:rPr>
        <w:t>21、开标</w:t>
      </w:r>
      <w:bookmarkEnd w:id="141"/>
      <w:bookmarkEnd w:id="142"/>
      <w:bookmarkEnd w:id="143"/>
    </w:p>
    <w:p w14:paraId="5208A57F">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sz w:val="21"/>
          <w:szCs w:val="21"/>
        </w:rPr>
        <w:t>21.1采购人将在招标公告中规定的时间和地点组织公开开标。投标人应当按照《操作手册》规定，参加开标活动和在苏采云系统规定的时间内对投标文件进行解密。</w:t>
      </w:r>
    </w:p>
    <w:p w14:paraId="30C1CF8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21.2开标仪式由采购人组织。苏采云系统将自动对项目进行开标，并宣布各投标人名称和投标价格。</w:t>
      </w:r>
    </w:p>
    <w:p w14:paraId="1643587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21.3投标人在开标过程中涉及到的投标文件解密、开标结果确认等工作，应按照《操作手册》规定执行。</w:t>
      </w:r>
    </w:p>
    <w:p w14:paraId="30A4BE3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21.4投标人如果对开标过程和开标记录有疑义，应当根据《操作手册》规定提出，如苏采云系统中《开标记录表》宣布后5分钟内未提出的，视同认可开标结果。</w:t>
      </w:r>
    </w:p>
    <w:p w14:paraId="3B214128">
      <w:pPr>
        <w:pStyle w:val="8"/>
        <w:keepNext/>
        <w:keepLines/>
        <w:spacing w:beforeAutospacing="0" w:afterAutospacing="0" w:line="360" w:lineRule="auto"/>
        <w:ind w:firstLine="420"/>
        <w:jc w:val="both"/>
        <w:rPr>
          <w:rFonts w:ascii="宋体" w:hAnsi="宋体" w:eastAsia="宋体" w:cs="宋体"/>
          <w:sz w:val="21"/>
          <w:szCs w:val="21"/>
        </w:rPr>
      </w:pPr>
      <w:bookmarkStart w:id="144" w:name="_Toc16938547"/>
      <w:bookmarkStart w:id="145" w:name="_Toc20823303"/>
      <w:bookmarkStart w:id="146" w:name="_Toc513029231"/>
      <w:r>
        <w:rPr>
          <w:rFonts w:hint="eastAsia" w:ascii="宋体" w:hAnsi="宋体" w:eastAsia="宋体" w:cs="宋体"/>
          <w:sz w:val="21"/>
          <w:szCs w:val="21"/>
        </w:rPr>
        <w:t>22、评标委员会</w:t>
      </w:r>
      <w:bookmarkEnd w:id="144"/>
      <w:bookmarkEnd w:id="145"/>
      <w:bookmarkEnd w:id="146"/>
    </w:p>
    <w:p w14:paraId="05CD6FD4">
      <w:pPr>
        <w:pStyle w:val="8"/>
        <w:spacing w:beforeAutospacing="0" w:afterAutospacing="0" w:line="360" w:lineRule="auto"/>
        <w:jc w:val="both"/>
        <w:rPr>
          <w:rFonts w:ascii="宋体" w:hAnsi="宋体" w:eastAsia="宋体" w:cs="宋体"/>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22.1开标后，采购人将立即组织评标委员会（以下简称评委会）进行评标。</w:t>
      </w:r>
    </w:p>
    <w:p w14:paraId="3547D8C1">
      <w:pPr>
        <w:pStyle w:val="8"/>
        <w:spacing w:beforeAutospacing="0" w:afterAutospacing="0" w:line="360" w:lineRule="auto"/>
        <w:jc w:val="both"/>
        <w:rPr>
          <w:rFonts w:ascii="宋体" w:hAnsi="宋体" w:eastAsia="宋体" w:cs="宋体"/>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22.2评委会由采购人代表和有关技术、经济等方面的专家组成，且人员构成符合政府采购有关规定。</w:t>
      </w:r>
    </w:p>
    <w:p w14:paraId="20533B8F">
      <w:pPr>
        <w:pStyle w:val="8"/>
        <w:spacing w:beforeAutospacing="0" w:afterAutospacing="0" w:line="360" w:lineRule="auto"/>
        <w:jc w:val="both"/>
        <w:rPr>
          <w:rFonts w:ascii="宋体" w:hAnsi="宋体" w:eastAsia="宋体" w:cs="宋体"/>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22.3评委会独立工作，负责评审所有投标文件并确定中标候选人。</w:t>
      </w:r>
    </w:p>
    <w:p w14:paraId="34208F74">
      <w:pPr>
        <w:pStyle w:val="8"/>
        <w:keepNext/>
        <w:keepLines/>
        <w:spacing w:beforeAutospacing="0" w:afterAutospacing="0" w:line="360" w:lineRule="auto"/>
        <w:ind w:firstLine="420"/>
        <w:jc w:val="both"/>
        <w:rPr>
          <w:rFonts w:ascii="宋体" w:hAnsi="宋体" w:eastAsia="宋体" w:cs="宋体"/>
          <w:sz w:val="21"/>
          <w:szCs w:val="21"/>
        </w:rPr>
      </w:pPr>
      <w:r>
        <w:rPr>
          <w:rFonts w:hint="eastAsia" w:ascii="宋体" w:hAnsi="宋体" w:eastAsia="宋体" w:cs="宋体"/>
          <w:color w:val="000000"/>
          <w:sz w:val="21"/>
          <w:szCs w:val="21"/>
        </w:rPr>
        <w:t>23、评标过程的保密与公正</w:t>
      </w:r>
    </w:p>
    <w:p w14:paraId="602C18F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23.1凡是与审查、澄清、评价和比较投标的有关资料以及授标建议等，采购人、评委、采购人均不得向投标人或与评标无关的其他人员透露。</w:t>
      </w:r>
    </w:p>
    <w:p w14:paraId="16C60AE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23.2在评标过程中，投标人不得以任何行为影响评标过程，否则其投标文件将被作为无效投标文件。</w:t>
      </w:r>
    </w:p>
    <w:p w14:paraId="469C231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23.</w:t>
      </w:r>
      <w:r>
        <w:rPr>
          <w:rFonts w:hint="eastAsia" w:ascii="宋体" w:hAnsi="宋体" w:eastAsia="宋体" w:cs="宋体"/>
          <w:sz w:val="21"/>
          <w:szCs w:val="21"/>
        </w:rPr>
        <w:t>3采购人和评标委员会不向未中标的投标人解释未中标原因，也不公布评标过程中的相关细节。</w:t>
      </w:r>
    </w:p>
    <w:p w14:paraId="6EFB22E3">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sz w:val="21"/>
          <w:szCs w:val="21"/>
        </w:rPr>
        <w:t>23.4采用综合评分法的项目，未中标的</w:t>
      </w:r>
      <w:r>
        <w:rPr>
          <w:rFonts w:hint="eastAsia" w:ascii="宋体" w:hAnsi="宋体" w:eastAsia="宋体" w:cs="宋体"/>
          <w:color w:val="000000"/>
          <w:sz w:val="21"/>
          <w:szCs w:val="21"/>
        </w:rPr>
        <w:t>投标人可于中标结果公告期限届满之日起通过苏采云系统查看自己的评审得分及排序情况。</w:t>
      </w:r>
    </w:p>
    <w:p w14:paraId="33765022">
      <w:pPr>
        <w:pStyle w:val="8"/>
        <w:keepNext/>
        <w:keepLines/>
        <w:spacing w:beforeAutospacing="0" w:afterAutospacing="0" w:line="360" w:lineRule="auto"/>
        <w:ind w:firstLine="420"/>
        <w:jc w:val="both"/>
        <w:rPr>
          <w:rFonts w:ascii="宋体" w:hAnsi="宋体" w:eastAsia="宋体" w:cs="宋体"/>
          <w:sz w:val="21"/>
          <w:szCs w:val="21"/>
        </w:rPr>
      </w:pPr>
      <w:bookmarkStart w:id="147" w:name="_Toc16938548"/>
      <w:bookmarkStart w:id="148" w:name="_Toc20823304"/>
      <w:bookmarkStart w:id="149" w:name="_Toc513029232"/>
      <w:r>
        <w:rPr>
          <w:rFonts w:hint="eastAsia" w:ascii="宋体" w:hAnsi="宋体" w:eastAsia="宋体" w:cs="宋体"/>
          <w:color w:val="000000"/>
          <w:sz w:val="21"/>
          <w:szCs w:val="21"/>
        </w:rPr>
        <w:t>24、投标文件的澄清</w:t>
      </w:r>
      <w:bookmarkEnd w:id="147"/>
      <w:bookmarkEnd w:id="148"/>
      <w:bookmarkEnd w:id="149"/>
    </w:p>
    <w:p w14:paraId="5CECF0F5">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24.1评标期间，评委会对投标文件中含义不明确、同类问题表述不一致或者有明显文字和计算错误的内容，有权要求投标人作出必要的澄清、说明或者补正。</w:t>
      </w:r>
    </w:p>
    <w:p w14:paraId="08E4C139">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投标人的澄清、说明或者补正不得超出投标文件的范围或者改变投标文件的实质性内容。</w:t>
      </w:r>
    </w:p>
    <w:p w14:paraId="4AD54F7E">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评标委员会并非对每个投标人都做澄清要求。</w:t>
      </w:r>
    </w:p>
    <w:p w14:paraId="74577FEB">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1"/>
          <w:szCs w:val="21"/>
        </w:rPr>
        <w:t>投标文件的补充部分，具体操作方式见《操作手册》。</w:t>
      </w:r>
    </w:p>
    <w:p w14:paraId="5BD350D5">
      <w:pPr>
        <w:pStyle w:val="8"/>
        <w:spacing w:beforeAutospacing="0" w:afterAutospacing="0" w:line="360" w:lineRule="auto"/>
        <w:jc w:val="both"/>
        <w:rPr>
          <w:rFonts w:ascii="宋体" w:hAnsi="宋体" w:eastAsia="宋体" w:cs="宋体"/>
          <w:sz w:val="21"/>
          <w:szCs w:val="21"/>
        </w:rPr>
      </w:pPr>
      <w:r>
        <w:rPr>
          <w:rFonts w:hint="eastAsia" w:ascii="宋体" w:hAnsi="宋体" w:eastAsia="宋体" w:cs="宋体"/>
          <w:color w:val="000000"/>
          <w:sz w:val="21"/>
          <w:szCs w:val="21"/>
        </w:rPr>
        <w:t>    24.3接到评委会澄清、说明和补正要求的投标人如未按规定作出澄清、说明和补正，其风险由投标人自行承担。</w:t>
      </w:r>
    </w:p>
    <w:p w14:paraId="54D0DBF6">
      <w:pPr>
        <w:pStyle w:val="8"/>
        <w:keepNext/>
        <w:keepLines/>
        <w:spacing w:beforeAutospacing="0" w:afterAutospacing="0" w:line="360" w:lineRule="auto"/>
        <w:ind w:firstLine="420"/>
        <w:jc w:val="both"/>
        <w:rPr>
          <w:rFonts w:ascii="宋体" w:hAnsi="宋体" w:eastAsia="宋体" w:cs="宋体"/>
          <w:sz w:val="21"/>
          <w:szCs w:val="21"/>
        </w:rPr>
      </w:pPr>
      <w:bookmarkStart w:id="150" w:name="_Toc16938549"/>
      <w:bookmarkStart w:id="151" w:name="_Toc20823305"/>
      <w:bookmarkStart w:id="152" w:name="_Toc513029233"/>
      <w:r>
        <w:rPr>
          <w:rFonts w:hint="eastAsia" w:ascii="宋体" w:hAnsi="宋体" w:eastAsia="宋体" w:cs="宋体"/>
          <w:color w:val="000000"/>
          <w:sz w:val="21"/>
          <w:szCs w:val="21"/>
        </w:rPr>
        <w:t>25、对投标文件的初审</w:t>
      </w:r>
      <w:bookmarkEnd w:id="150"/>
      <w:bookmarkEnd w:id="151"/>
      <w:bookmarkEnd w:id="152"/>
    </w:p>
    <w:p w14:paraId="6B934B60">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25.1投标文件初审分为资格审查和符合性审查。</w:t>
      </w:r>
    </w:p>
    <w:p w14:paraId="0CBF880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25.1.1资格审查：依据法律法规和招标文件的规定，由采购人对投标文件中的资格证明文件进行审查。资格审查的结论，采购人以书面形式向评委会进行反馈。</w:t>
      </w:r>
    </w:p>
    <w:p w14:paraId="2AD15805">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采购人在进行资格性审查的同时，将在“信用中国”网站（www.creditchina.gov.cn）查询投标人的信用记录，以确定投标人是否具备投标资格,查询结果留存并归档。</w:t>
      </w:r>
    </w:p>
    <w:p w14:paraId="3C2A807F">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接受联合体的项目，两个以上的自然人、法人或者其他组织组成一个联合体，以一个供应商的身份共同参加政府采购活动的,联合体成员存在不良信用记录的，视同联合体存在不良应用记录。</w:t>
      </w:r>
    </w:p>
    <w:p w14:paraId="4590695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25.1.2符合性审查：依据招标文件的规定，由评委会从投标文件的有效性、完整性和对招标文件的响应程度进行审查，以确定是否对招标文件的实质性要求作出响应。</w:t>
      </w:r>
    </w:p>
    <w:p w14:paraId="502538D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25.1.3未通过资格审查或符合性审查的投标人，采购人将在苏采云系统中告知未通过资格审查或符合性审查的原因，评标结束后，采购人将不再告知</w:t>
      </w:r>
      <w:r>
        <w:rPr>
          <w:rFonts w:hint="eastAsia" w:ascii="宋体" w:hAnsi="宋体" w:eastAsia="宋体" w:cs="宋体"/>
          <w:color w:val="000000"/>
          <w:sz w:val="21"/>
          <w:szCs w:val="21"/>
        </w:rPr>
        <w:t>未通过资格审查和符合性审查的原因。</w:t>
      </w:r>
    </w:p>
    <w:p w14:paraId="3F01957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25.2在详细评标之前，评委会将首先审查每份投标文件是否实质性响应了招标文件的要求。实质性响应的投标应该是与招标文件要求的全部条款、条件和规格相符，没有重大偏离或保留的投标。</w:t>
      </w:r>
    </w:p>
    <w:p w14:paraId="3ACF295B">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所谓重大偏离或保留是指与招标文件规定的实质性要求存在负偏离，或者在实质上与招标文件不一致，而且限制了合同中买方和采购人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87253F6">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25.3如果投标文件实质上没有响应招标文件的要求，评委会将予以拒绝，投标人不得通过修改或撤销不合要求的偏离或保留而使其投标成为实质性响应的投标。</w:t>
      </w:r>
    </w:p>
    <w:p w14:paraId="150BDE49">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25.4评委会将对确定为实质性响应的投标进行进一步审核，确定其是否有计算上或累加上的算术错误，修正错误的原则如下：</w:t>
      </w:r>
    </w:p>
    <w:p w14:paraId="035B48CD">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（1）投标文件中开标一览表内容与投标文件中相应内容不一致的，以开标一览表为准。</w:t>
      </w:r>
    </w:p>
    <w:p w14:paraId="60048F60">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（2）大写金额和小写金额不一致的，以大写金额为准。</w:t>
      </w:r>
    </w:p>
    <w:p w14:paraId="29FD4AD7">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（3）单价金额小数点或者百分比有明显错位的，以开标一览表的总价为准，并修改单价。</w:t>
      </w:r>
    </w:p>
    <w:p w14:paraId="752CE255">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（4）总价金额与按单价汇总金额不一致的，以单价金额计算结果为准。</w:t>
      </w:r>
    </w:p>
    <w:p w14:paraId="55F3DAFA">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同时出现两种以上错误的，按照前款规定的顺序修正。</w:t>
      </w:r>
    </w:p>
    <w:p w14:paraId="07248BA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25.5评委会将按上述修正错误的方法调整投标文件中的投标报价，并通过苏采云系统告知投标人，调整后的价格应对投标人具有约束力。如果投标人不接受修正后的价格，则其投标将被拒绝。</w:t>
      </w:r>
    </w:p>
    <w:p w14:paraId="200E4F8D">
      <w:pPr>
        <w:pStyle w:val="8"/>
        <w:spacing w:beforeAutospacing="0" w:afterAutospacing="0" w:line="360" w:lineRule="auto"/>
        <w:ind w:firstLine="420"/>
        <w:jc w:val="both"/>
        <w:rPr>
          <w:rFonts w:ascii="宋体" w:hAnsi="宋体" w:eastAsia="宋体" w:cs="宋体"/>
          <w:sz w:val="21"/>
          <w:szCs w:val="21"/>
        </w:rPr>
      </w:pPr>
      <w:bookmarkStart w:id="153" w:name="_Toc20823306"/>
      <w:bookmarkStart w:id="154" w:name="_Toc513029234"/>
      <w:bookmarkStart w:id="155" w:name="_Toc16938550"/>
      <w:r>
        <w:rPr>
          <w:rFonts w:hint="eastAsia" w:ascii="宋体" w:hAnsi="宋体" w:eastAsia="宋体" w:cs="宋体"/>
          <w:sz w:val="21"/>
          <w:szCs w:val="21"/>
        </w:rPr>
        <w:t>25.6投标人在开、评标全过程中应保持通信畅通，及时登录苏采云系统查阅、答复相关信息，并安排专人与采购人及评标委员会联系。</w:t>
      </w:r>
      <w:bookmarkEnd w:id="153"/>
      <w:bookmarkEnd w:id="154"/>
      <w:bookmarkEnd w:id="155"/>
    </w:p>
    <w:p w14:paraId="600E8B71">
      <w:pPr>
        <w:pStyle w:val="8"/>
        <w:keepNext/>
        <w:keepLines/>
        <w:spacing w:beforeAutospacing="0" w:afterAutospacing="0" w:line="360" w:lineRule="auto"/>
        <w:ind w:firstLine="420"/>
        <w:jc w:val="both"/>
        <w:rPr>
          <w:rFonts w:ascii="宋体" w:hAnsi="宋体" w:eastAsia="宋体" w:cs="宋体"/>
          <w:sz w:val="21"/>
          <w:szCs w:val="21"/>
        </w:rPr>
      </w:pPr>
      <w:r>
        <w:rPr>
          <w:rFonts w:hint="eastAsia" w:ascii="宋体" w:hAnsi="宋体" w:eastAsia="宋体" w:cs="宋体"/>
          <w:sz w:val="21"/>
          <w:szCs w:val="21"/>
        </w:rPr>
        <w:t>26、无效投标条款和废标条款</w:t>
      </w:r>
    </w:p>
    <w:p w14:paraId="2908693C">
      <w:pPr>
        <w:pStyle w:val="8"/>
        <w:spacing w:beforeAutospacing="0" w:afterAutospacing="0" w:line="360" w:lineRule="auto"/>
        <w:ind w:left="479"/>
        <w:jc w:val="both"/>
        <w:rPr>
          <w:rFonts w:ascii="宋体" w:hAnsi="宋体" w:eastAsia="宋体" w:cs="宋体"/>
          <w:sz w:val="21"/>
          <w:szCs w:val="21"/>
        </w:rPr>
      </w:pPr>
      <w:bookmarkStart w:id="156" w:name="_Toc20823307"/>
      <w:bookmarkStart w:id="157" w:name="_Toc16938551"/>
      <w:bookmarkStart w:id="158" w:name="_Toc513029235"/>
      <w:r>
        <w:rPr>
          <w:rFonts w:hint="eastAsia" w:ascii="宋体" w:hAnsi="宋体" w:eastAsia="宋体" w:cs="宋体"/>
          <w:sz w:val="21"/>
          <w:szCs w:val="21"/>
        </w:rPr>
        <w:t>26.1无效投标条款</w:t>
      </w:r>
      <w:bookmarkEnd w:id="156"/>
      <w:bookmarkEnd w:id="157"/>
      <w:bookmarkEnd w:id="158"/>
    </w:p>
    <w:p w14:paraId="42B9EDF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26.1.1投标人在苏采云系统规定的时间内未成功解密电子投标文件的。</w:t>
      </w:r>
    </w:p>
    <w:p w14:paraId="71EA643B">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26.1.2投标人未按照招标文件要求上传电子投标文件的。</w:t>
      </w:r>
    </w:p>
    <w:p w14:paraId="48142D49">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26.1.3同一投标人提交两个（含两个）以上不同的投标报价的。</w:t>
      </w:r>
    </w:p>
    <w:p w14:paraId="491A1B1E">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26.1.4投标人不具备招标文件中规定资格要求的。</w:t>
      </w:r>
    </w:p>
    <w:p w14:paraId="098F205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26.1.5投标人的报价超过了采购预算或最高限价的。</w:t>
      </w:r>
    </w:p>
    <w:p w14:paraId="52D7BC2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26.1.6未通过符合性审查的。</w:t>
      </w:r>
    </w:p>
    <w:p w14:paraId="39595618">
      <w:pPr>
        <w:pStyle w:val="8"/>
        <w:spacing w:beforeAutospacing="0" w:afterAutospacing="0" w:line="360" w:lineRule="auto"/>
        <w:ind w:firstLine="360"/>
        <w:jc w:val="both"/>
        <w:rPr>
          <w:rFonts w:ascii="宋体" w:hAnsi="宋体" w:eastAsia="宋体" w:cs="宋体"/>
          <w:sz w:val="21"/>
          <w:szCs w:val="21"/>
        </w:rPr>
      </w:pPr>
      <w:r>
        <w:rPr>
          <w:rFonts w:hint="eastAsia" w:ascii="宋体" w:hAnsi="宋体" w:eastAsia="宋体" w:cs="宋体"/>
          <w:color w:val="000000"/>
          <w:sz w:val="21"/>
          <w:szCs w:val="21"/>
        </w:rPr>
        <w:t>26.1.7不符合招标文件中规定的实质性要求和条件的</w:t>
      </w:r>
      <w:r>
        <w:rPr>
          <w:rFonts w:hint="eastAsia" w:ascii="宋体" w:hAnsi="宋体" w:eastAsia="宋体" w:cs="宋体"/>
          <w:i/>
          <w:color w:val="000000"/>
          <w:sz w:val="21"/>
          <w:szCs w:val="21"/>
          <w:u w:val="single"/>
        </w:rPr>
        <w:t>。</w:t>
      </w:r>
    </w:p>
    <w:p w14:paraId="3348A63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51D8179">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26.1.9投标文件含有采购人不能接受的附加条件的。</w:t>
      </w:r>
    </w:p>
    <w:p w14:paraId="57FCAB3D">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26.1.10</w:t>
      </w:r>
      <w:r>
        <w:rPr>
          <w:rFonts w:hint="eastAsia" w:ascii="宋体" w:hAnsi="宋体" w:eastAsia="宋体" w:cs="宋体"/>
          <w:sz w:val="21"/>
          <w:szCs w:val="21"/>
        </w:rPr>
        <w:t>投标人不能证明其报价合理性的，评标委员会应当将其作为无效投标处理。</w:t>
      </w:r>
    </w:p>
    <w:p w14:paraId="13422A6A">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（一）评审过程中出现下列情形之一的，评标委员会应当启动异常低价投标审查程序：</w:t>
      </w:r>
    </w:p>
    <w:p w14:paraId="6C61E385">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1.投标报价低于采购项目预算50% 的，即投标报价&lt;采购项目预算×50%；</w:t>
      </w:r>
    </w:p>
    <w:p w14:paraId="02625C4E">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2.投标报价低于采购项目最高限价45% 的，即投标报价&lt;采购项目最高限价×45%；</w:t>
      </w:r>
    </w:p>
    <w:p w14:paraId="127BE0E6">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3.评标委员会认定的供应商报价过低、有可能影响产品质量或者不能诚信履约的其他情形。</w:t>
      </w:r>
    </w:p>
    <w:p w14:paraId="356F92C0">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45DAD4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26.1.11投标文件未按照招标文件要求加盖CA电子公章的。</w:t>
      </w:r>
    </w:p>
    <w:p w14:paraId="68CCB130">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sz w:val="21"/>
          <w:szCs w:val="21"/>
        </w:rPr>
        <w:t>26.1.12其他法律、法规及本招标文件规定的属无效投标的情形。</w:t>
      </w:r>
    </w:p>
    <w:p w14:paraId="0FB67414">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26.2废标条款</w:t>
      </w:r>
    </w:p>
    <w:p w14:paraId="658FDD7C">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26.2.1符合专业条件的供应商或者对招标文件作实质响应的供应商不足三家的。</w:t>
      </w:r>
    </w:p>
    <w:p w14:paraId="5B30BD0E">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26.2.2出现影响采购公正的违法、违规行为的。</w:t>
      </w:r>
    </w:p>
    <w:p w14:paraId="77D1A836">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26.2.3因重大变故，采购任务取消的。</w:t>
      </w:r>
    </w:p>
    <w:p w14:paraId="412F0F8F">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26.2.4评标委员会认定招标文件存在歧义、重大缺陷导致评审工作无法进行。</w:t>
      </w:r>
    </w:p>
    <w:p w14:paraId="4574C92D">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26.2.5因苏采云系统系统故障原因造成开标不成功的。</w:t>
      </w:r>
    </w:p>
    <w:p w14:paraId="2C56903A">
      <w:pPr>
        <w:pStyle w:val="8"/>
        <w:spacing w:beforeAutospacing="0" w:afterAutospacing="0" w:line="360" w:lineRule="auto"/>
        <w:ind w:left="479"/>
        <w:jc w:val="both"/>
        <w:rPr>
          <w:rFonts w:ascii="宋体" w:hAnsi="宋体" w:eastAsia="宋体" w:cs="宋体"/>
          <w:sz w:val="21"/>
          <w:szCs w:val="21"/>
        </w:rPr>
      </w:pPr>
      <w:r>
        <w:rPr>
          <w:rFonts w:hint="eastAsia" w:ascii="宋体" w:hAnsi="宋体" w:eastAsia="宋体" w:cs="宋体"/>
          <w:sz w:val="21"/>
          <w:szCs w:val="21"/>
        </w:rPr>
        <w:t>26.3 投标截止时间结束后参加投标的供应商不足三家的处理：</w:t>
      </w:r>
    </w:p>
    <w:p w14:paraId="0FE7C27C">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26.3.1如出现投标截止时间结束后参加投标的供应商或者在评标期间对招标文件做出实质响应的供应商不足三家情况，按政府采购相关规定执行。</w:t>
      </w:r>
    </w:p>
    <w:p w14:paraId="491CD87A">
      <w:pPr>
        <w:pStyle w:val="8"/>
        <w:keepNext/>
        <w:keepLines/>
        <w:spacing w:before="145" w:beforeAutospacing="0" w:after="145" w:afterAutospacing="0" w:line="360" w:lineRule="auto"/>
        <w:ind w:firstLine="482"/>
        <w:jc w:val="both"/>
        <w:rPr>
          <w:rFonts w:ascii="宋体" w:hAnsi="宋体" w:eastAsia="宋体" w:cs="宋体"/>
          <w:sz w:val="21"/>
          <w:szCs w:val="21"/>
        </w:rPr>
      </w:pPr>
      <w:bookmarkStart w:id="159" w:name="_Toc120614219"/>
      <w:r>
        <w:rPr>
          <w:rFonts w:hint="eastAsia" w:ascii="宋体" w:hAnsi="宋体" w:eastAsia="宋体" w:cs="宋体"/>
          <w:b/>
          <w:color w:val="000000"/>
          <w:sz w:val="21"/>
          <w:szCs w:val="21"/>
        </w:rPr>
        <w:t>六、定标</w:t>
      </w:r>
      <w:bookmarkEnd w:id="159"/>
    </w:p>
    <w:p w14:paraId="72A99A75">
      <w:pPr>
        <w:pStyle w:val="8"/>
        <w:keepNext/>
        <w:keepLines/>
        <w:spacing w:beforeAutospacing="0" w:afterAutospacing="0" w:line="360" w:lineRule="auto"/>
        <w:ind w:firstLine="600"/>
        <w:jc w:val="both"/>
        <w:rPr>
          <w:rFonts w:ascii="宋体" w:hAnsi="宋体" w:eastAsia="宋体" w:cs="宋体"/>
          <w:sz w:val="21"/>
          <w:szCs w:val="21"/>
        </w:rPr>
      </w:pPr>
      <w:bookmarkStart w:id="160" w:name="_Toc20823310"/>
      <w:bookmarkStart w:id="161" w:name="_Toc513029238"/>
      <w:bookmarkStart w:id="162" w:name="_Toc16938554"/>
      <w:r>
        <w:rPr>
          <w:rFonts w:hint="eastAsia" w:ascii="宋体" w:hAnsi="宋体" w:eastAsia="宋体" w:cs="宋体"/>
          <w:color w:val="000000"/>
          <w:sz w:val="21"/>
          <w:szCs w:val="21"/>
        </w:rPr>
        <w:t>27、</w:t>
      </w:r>
      <w:bookmarkEnd w:id="160"/>
      <w:r>
        <w:rPr>
          <w:rFonts w:hint="eastAsia" w:ascii="宋体" w:hAnsi="宋体" w:eastAsia="宋体" w:cs="宋体"/>
          <w:color w:val="000000"/>
          <w:sz w:val="21"/>
          <w:szCs w:val="21"/>
        </w:rPr>
        <w:t>确定</w:t>
      </w:r>
      <w:bookmarkEnd w:id="161"/>
      <w:bookmarkEnd w:id="162"/>
      <w:r>
        <w:rPr>
          <w:rFonts w:hint="eastAsia" w:ascii="宋体" w:hAnsi="宋体" w:eastAsia="宋体" w:cs="宋体"/>
          <w:color w:val="000000"/>
          <w:sz w:val="21"/>
          <w:szCs w:val="21"/>
        </w:rPr>
        <w:t>中标单位</w:t>
      </w:r>
    </w:p>
    <w:p w14:paraId="6F97680C">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 xml:space="preserve">27.1中标候选人的选取原则和数量见招标文件第五章规定。 </w:t>
      </w:r>
    </w:p>
    <w:p w14:paraId="1E7F83C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27.2采购人应根据评委会推荐的中标候选人确定中标人。</w:t>
      </w:r>
    </w:p>
    <w:p w14:paraId="1CEF470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27.3采购人将在“中国政府采购网”“江苏政府采购网”“盐城市政府采购网”发布中标公告，公告期限为1个工作日。</w:t>
      </w:r>
    </w:p>
    <w:p w14:paraId="2284BA4D">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27.4若有充分证据证明，中标人出现下列情况之一的，一经查实，将被取消中标资格：</w:t>
      </w:r>
    </w:p>
    <w:p w14:paraId="58EBDEE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27.4.1提供虚假材料谋取中标的。</w:t>
      </w:r>
    </w:p>
    <w:p w14:paraId="6BD265CE">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27.4.2向采购人、采购人行贿或者提供其他不正当利益的。</w:t>
      </w:r>
    </w:p>
    <w:p w14:paraId="01988AA6">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27.4.3属于本文件规定的无效条件，但在评标过程中又未被评委会发现的。</w:t>
      </w:r>
    </w:p>
    <w:p w14:paraId="540BAAB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27.4.4与采购人或者其他供应商恶意串通的。</w:t>
      </w:r>
    </w:p>
    <w:p w14:paraId="5EA01E7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27.4.5采取不正当手段诋毁、排挤其他供应商的。</w:t>
      </w:r>
    </w:p>
    <w:p w14:paraId="3FBDC28D">
      <w:pPr>
        <w:pStyle w:val="8"/>
        <w:spacing w:beforeAutospacing="0" w:afterAutospacing="0" w:line="360" w:lineRule="auto"/>
        <w:ind w:firstLine="480"/>
        <w:jc w:val="both"/>
        <w:rPr>
          <w:rFonts w:ascii="宋体" w:hAnsi="宋体" w:eastAsia="宋体" w:cs="宋体"/>
          <w:sz w:val="21"/>
          <w:szCs w:val="21"/>
        </w:rPr>
      </w:pPr>
      <w:bookmarkStart w:id="163" w:name="_Toc200451960"/>
      <w:r>
        <w:rPr>
          <w:rFonts w:hint="eastAsia" w:ascii="宋体" w:hAnsi="宋体" w:eastAsia="宋体" w:cs="宋体"/>
          <w:color w:val="000000"/>
          <w:sz w:val="21"/>
          <w:szCs w:val="21"/>
        </w:rPr>
        <w:t>27.5 有下列情形之一的，视为投标人串通投标，投标无效：</w:t>
      </w:r>
      <w:bookmarkEnd w:id="163"/>
    </w:p>
    <w:p w14:paraId="6DDD76B5">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27.5.1不同投标人的投标文件由同一单位或者个人编制。</w:t>
      </w:r>
    </w:p>
    <w:p w14:paraId="641FF5A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27.5.2不同投标人委托同一单位或者个人办理投标事宜。</w:t>
      </w:r>
    </w:p>
    <w:p w14:paraId="391F600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27.5.3不同投标人的投标文件载明的项目管理成员或者联系人员为同一人。</w:t>
      </w:r>
    </w:p>
    <w:p w14:paraId="03B3E96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27.5.4不同投标人的投标文件异常一致或者投标报价呈规律性差异。</w:t>
      </w:r>
    </w:p>
    <w:p w14:paraId="280CD2E1">
      <w:pPr>
        <w:pStyle w:val="8"/>
        <w:keepNext/>
        <w:keepLines/>
        <w:spacing w:beforeAutospacing="0" w:afterAutospacing="0" w:line="360" w:lineRule="auto"/>
        <w:ind w:firstLine="600"/>
        <w:jc w:val="both"/>
        <w:rPr>
          <w:rFonts w:ascii="宋体" w:hAnsi="宋体" w:eastAsia="宋体" w:cs="宋体"/>
          <w:sz w:val="21"/>
          <w:szCs w:val="21"/>
        </w:rPr>
      </w:pPr>
      <w:r>
        <w:rPr>
          <w:rFonts w:hint="eastAsia" w:ascii="宋体" w:hAnsi="宋体" w:eastAsia="宋体" w:cs="宋体"/>
          <w:color w:val="000000"/>
          <w:sz w:val="21"/>
          <w:szCs w:val="21"/>
        </w:rPr>
        <w:t>28、质疑处理</w:t>
      </w:r>
    </w:p>
    <w:p w14:paraId="0F02D4C3">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28.1提出质疑的供应商应当是参与所质疑项目采购活动的供应商。潜在供应商依法获取其可质疑的采购文件的，可以对采购文件提出质疑。</w:t>
      </w:r>
    </w:p>
    <w:p w14:paraId="7AA8FA34">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28.2供应商认为采购文件、采购过程和采购结果使自己的权益受到损害的，可以在知道或应知其权益受到损害之日起七个工作日内，以书面形式根据下述28.4条款的规定向采购人或采购人提出质疑。上述应知其权益受到损害之日，是指：</w:t>
      </w:r>
    </w:p>
    <w:p w14:paraId="3F939407">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28.2.1对可以质疑的采购文件提出质疑的，为收到采购文件之日或者采购文件公告期限届满之日；</w:t>
      </w:r>
    </w:p>
    <w:p w14:paraId="1BA2A33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28.2.2对采购过程提出质疑的，为各采购程序环节结束之日；</w:t>
      </w:r>
    </w:p>
    <w:p w14:paraId="495B4FB0">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28.2.3对中标或者成交结果提出质疑的，为中标或者成交结果公告期限届满之日。</w:t>
      </w:r>
    </w:p>
    <w:p w14:paraId="4F0CF851">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供应商应当在法定质疑期内一次性提出针对同一采购程序环节的质疑。供应商如在法定期限内对同一采购程序环节提出多次质疑的，采购人、采购人将只对供应商第一次质疑作出答复。</w:t>
      </w:r>
    </w:p>
    <w:p w14:paraId="3F9F0C0D">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28.3质疑函必须按照本招标文件中《质疑函范本》要求的格式和内容进行填写。供应商如组成联合体参加投标，则《质疑函范本》中要求签字、盖章、加盖公章之处，联合体各方均须按要求签字、盖章、加盖公章。</w:t>
      </w:r>
    </w:p>
    <w:p w14:paraId="539E1348">
      <w:pPr>
        <w:pStyle w:val="8"/>
        <w:spacing w:beforeAutospacing="0" w:afterAutospacing="0" w:line="360" w:lineRule="auto"/>
        <w:ind w:firstLine="482"/>
        <w:jc w:val="both"/>
        <w:rPr>
          <w:rFonts w:ascii="宋体" w:hAnsi="宋体" w:eastAsia="宋体" w:cs="宋体"/>
          <w:sz w:val="21"/>
          <w:szCs w:val="21"/>
        </w:rPr>
      </w:pPr>
      <w:r>
        <w:rPr>
          <w:rFonts w:hint="eastAsia" w:ascii="宋体" w:hAnsi="宋体" w:eastAsia="宋体" w:cs="宋体"/>
          <w:color w:val="000000"/>
          <w:sz w:val="21"/>
          <w:szCs w:val="21"/>
        </w:rPr>
        <w:t>28.4</w:t>
      </w:r>
      <w:r>
        <w:rPr>
          <w:rFonts w:hint="eastAsia" w:ascii="宋体" w:hAnsi="宋体" w:eastAsia="宋体" w:cs="宋体"/>
          <w:color w:val="000000" w:themeColor="text1"/>
          <w:sz w:val="21"/>
          <w:szCs w:val="2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1"/>
          <w:szCs w:val="21"/>
        </w:rPr>
        <w:t>供应商对除上述事项以外其他事项的询问、质疑请向采购人提出，由采购人负责答复。</w:t>
      </w:r>
    </w:p>
    <w:p w14:paraId="725692B6">
      <w:pPr>
        <w:tabs>
          <w:tab w:val="left" w:pos="1331"/>
        </w:tabs>
        <w:spacing w:line="360"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采购人及采购人只接收以纸质原件形式送达的质疑,采购人和采购人不接受未填写快递运单的快件。质疑接收部门为江苏大丰港经济开发区管理委员会，联系地址：大丰区海晟南路。</w:t>
      </w:r>
    </w:p>
    <w:p w14:paraId="7E473CFC">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28.5 以下情形的质疑不予受理</w:t>
      </w:r>
    </w:p>
    <w:p w14:paraId="0DFB8CE8">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28.5.1内容不符合《政府采购质疑和投诉办法》第十二条规定的质疑。</w:t>
      </w:r>
    </w:p>
    <w:p w14:paraId="06594F6A">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28.5.2超出政府采购法定期限的质疑。</w:t>
      </w:r>
    </w:p>
    <w:p w14:paraId="2B4852A7">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28.5.3以传真、电子邮件等方式递交的非原件形式的质疑。</w:t>
      </w:r>
    </w:p>
    <w:p w14:paraId="10978C8A">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28.5.4未参加投标活动的供应商或在投标活动中自身权益未受到损害的供应商所提出的质疑。</w:t>
      </w:r>
    </w:p>
    <w:p w14:paraId="20F742A2">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28.5.5供应商组成联合体参加投标，联合体中任何一方或多方未按要求签字、盖章、加盖公章的质疑。</w:t>
      </w:r>
    </w:p>
    <w:p w14:paraId="48C3F2AE">
      <w:pPr>
        <w:pStyle w:val="8"/>
        <w:spacing w:beforeAutospacing="0" w:afterAutospacing="0" w:line="360" w:lineRule="auto"/>
        <w:ind w:firstLine="468"/>
        <w:jc w:val="both"/>
        <w:rPr>
          <w:rFonts w:ascii="宋体" w:hAnsi="宋体" w:eastAsia="宋体" w:cs="宋体"/>
          <w:sz w:val="21"/>
          <w:szCs w:val="21"/>
        </w:rPr>
      </w:pPr>
      <w:r>
        <w:rPr>
          <w:rFonts w:hint="eastAsia" w:ascii="宋体" w:hAnsi="宋体" w:eastAsia="宋体" w:cs="宋体"/>
          <w:color w:val="000000"/>
          <w:sz w:val="21"/>
          <w:szCs w:val="21"/>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041CF09">
      <w:pPr>
        <w:pStyle w:val="8"/>
        <w:keepNext/>
        <w:keepLines/>
        <w:spacing w:beforeAutospacing="0" w:afterAutospacing="0" w:line="360" w:lineRule="auto"/>
        <w:ind w:firstLine="600"/>
        <w:jc w:val="both"/>
        <w:rPr>
          <w:rFonts w:ascii="宋体" w:hAnsi="宋体" w:eastAsia="宋体" w:cs="宋体"/>
          <w:sz w:val="21"/>
          <w:szCs w:val="21"/>
        </w:rPr>
      </w:pPr>
      <w:r>
        <w:rPr>
          <w:rFonts w:hint="eastAsia" w:ascii="宋体" w:hAnsi="宋体" w:eastAsia="宋体" w:cs="宋体"/>
          <w:color w:val="000000"/>
          <w:sz w:val="21"/>
          <w:szCs w:val="21"/>
        </w:rPr>
        <w:t>29、中标通知书</w:t>
      </w:r>
    </w:p>
    <w:p w14:paraId="17B04D3C">
      <w:pPr>
        <w:pStyle w:val="8"/>
        <w:spacing w:beforeAutospacing="0" w:afterAutospacing="0" w:line="360" w:lineRule="auto"/>
        <w:ind w:firstLine="600"/>
        <w:jc w:val="both"/>
        <w:rPr>
          <w:rFonts w:ascii="宋体" w:hAnsi="宋体" w:eastAsia="宋体" w:cs="宋体"/>
          <w:sz w:val="21"/>
          <w:szCs w:val="21"/>
        </w:rPr>
      </w:pPr>
      <w:r>
        <w:rPr>
          <w:rFonts w:hint="eastAsia" w:ascii="宋体" w:hAnsi="宋体" w:eastAsia="宋体" w:cs="宋体"/>
          <w:color w:val="000000"/>
          <w:sz w:val="21"/>
          <w:szCs w:val="21"/>
        </w:rPr>
        <w:t>29.l中标结果确定后，采购人将向中标人发</w:t>
      </w:r>
      <w:r>
        <w:rPr>
          <w:rFonts w:hint="eastAsia" w:ascii="宋体" w:hAnsi="宋体" w:eastAsia="宋体" w:cs="宋体"/>
          <w:sz w:val="21"/>
          <w:szCs w:val="21"/>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18FBCC7">
      <w:pPr>
        <w:pStyle w:val="8"/>
        <w:spacing w:beforeAutospacing="0" w:afterAutospacing="0" w:line="360" w:lineRule="auto"/>
        <w:ind w:firstLine="600"/>
        <w:jc w:val="both"/>
        <w:rPr>
          <w:rFonts w:ascii="宋体" w:hAnsi="宋体" w:eastAsia="宋体" w:cs="宋体"/>
          <w:sz w:val="21"/>
          <w:szCs w:val="21"/>
        </w:rPr>
      </w:pPr>
      <w:r>
        <w:rPr>
          <w:rFonts w:hint="eastAsia" w:ascii="宋体" w:hAnsi="宋体" w:eastAsia="宋体" w:cs="宋体"/>
          <w:sz w:val="21"/>
          <w:szCs w:val="21"/>
        </w:rPr>
        <w:t>29.2中标通知书将是合同的一个组成部分。对采购人和中标人均具有法律</w:t>
      </w:r>
      <w:r>
        <w:rPr>
          <w:rFonts w:hint="eastAsia" w:ascii="宋体" w:hAnsi="宋体" w:eastAsia="宋体" w:cs="宋体"/>
          <w:color w:val="000000"/>
          <w:sz w:val="21"/>
          <w:szCs w:val="21"/>
        </w:rPr>
        <w:t>效力。中标通知书发出后，采购人改变中标结果的，或者中标人放弃中标项目的，应当依法承担法律责任。</w:t>
      </w:r>
    </w:p>
    <w:p w14:paraId="624A1128">
      <w:pPr>
        <w:pStyle w:val="8"/>
        <w:keepNext/>
        <w:keepLines/>
        <w:spacing w:before="145" w:beforeAutospacing="0" w:after="145" w:afterAutospacing="0" w:line="360" w:lineRule="auto"/>
        <w:jc w:val="both"/>
        <w:rPr>
          <w:rFonts w:ascii="宋体" w:hAnsi="宋体" w:eastAsia="宋体" w:cs="宋体"/>
          <w:sz w:val="21"/>
          <w:szCs w:val="21"/>
        </w:rPr>
      </w:pPr>
      <w:bookmarkStart w:id="164" w:name="_Toc16938552"/>
      <w:bookmarkStart w:id="165" w:name="_Toc120614220"/>
      <w:bookmarkStart w:id="166" w:name="_Toc20823308"/>
      <w:bookmarkStart w:id="167" w:name="_Toc513029236"/>
      <w:r>
        <w:rPr>
          <w:rFonts w:hint="eastAsia" w:ascii="宋体" w:hAnsi="宋体" w:eastAsia="宋体" w:cs="宋体"/>
          <w:b/>
          <w:color w:val="000000"/>
          <w:sz w:val="21"/>
          <w:szCs w:val="21"/>
        </w:rPr>
        <w:t>七、授予合同</w:t>
      </w:r>
      <w:bookmarkEnd w:id="164"/>
      <w:bookmarkEnd w:id="165"/>
      <w:bookmarkEnd w:id="166"/>
      <w:bookmarkEnd w:id="167"/>
    </w:p>
    <w:p w14:paraId="4E8116D4">
      <w:pPr>
        <w:pStyle w:val="8"/>
        <w:keepNext/>
        <w:keepLines/>
        <w:spacing w:beforeAutospacing="0" w:afterAutospacing="0" w:line="360" w:lineRule="auto"/>
        <w:ind w:firstLine="600"/>
        <w:jc w:val="both"/>
        <w:rPr>
          <w:rFonts w:ascii="宋体" w:hAnsi="宋体" w:eastAsia="宋体" w:cs="宋体"/>
          <w:sz w:val="21"/>
          <w:szCs w:val="21"/>
        </w:rPr>
      </w:pPr>
      <w:bookmarkStart w:id="168" w:name="_Toc16938553"/>
      <w:bookmarkStart w:id="169" w:name="_Toc20823309"/>
      <w:bookmarkStart w:id="170" w:name="_Toc513029237"/>
      <w:r>
        <w:rPr>
          <w:rFonts w:hint="eastAsia" w:ascii="宋体" w:hAnsi="宋体" w:eastAsia="宋体" w:cs="宋体"/>
          <w:color w:val="000000"/>
          <w:sz w:val="21"/>
          <w:szCs w:val="21"/>
        </w:rPr>
        <w:t>30.签订合同</w:t>
      </w:r>
      <w:bookmarkEnd w:id="168"/>
      <w:bookmarkEnd w:id="169"/>
      <w:bookmarkEnd w:id="170"/>
    </w:p>
    <w:p w14:paraId="4955A10D">
      <w:pPr>
        <w:pStyle w:val="8"/>
        <w:spacing w:beforeAutospacing="0" w:afterAutospacing="0" w:line="360" w:lineRule="auto"/>
        <w:ind w:firstLine="600"/>
        <w:jc w:val="both"/>
        <w:rPr>
          <w:rFonts w:ascii="宋体" w:hAnsi="宋体" w:eastAsia="宋体" w:cs="宋体"/>
          <w:sz w:val="21"/>
          <w:szCs w:val="21"/>
        </w:rPr>
      </w:pPr>
      <w:r>
        <w:rPr>
          <w:rFonts w:hint="eastAsia" w:ascii="宋体" w:hAnsi="宋体" w:eastAsia="宋体" w:cs="宋体"/>
          <w:color w:val="000000"/>
          <w:sz w:val="21"/>
          <w:szCs w:val="21"/>
        </w:rPr>
        <w:t>30.l中标人应当在中标通知书发出之日起三十日内，按照招标文件确定的事项与采购人签订政府采购合同。</w:t>
      </w:r>
    </w:p>
    <w:p w14:paraId="751047FC">
      <w:pPr>
        <w:pStyle w:val="8"/>
        <w:spacing w:beforeAutospacing="0" w:afterAutospacing="0" w:line="360" w:lineRule="auto"/>
        <w:ind w:firstLine="600"/>
        <w:jc w:val="both"/>
        <w:rPr>
          <w:rFonts w:ascii="宋体" w:hAnsi="宋体" w:eastAsia="宋体" w:cs="宋体"/>
          <w:sz w:val="21"/>
          <w:szCs w:val="21"/>
        </w:rPr>
      </w:pPr>
      <w:r>
        <w:rPr>
          <w:rFonts w:hint="eastAsia" w:ascii="宋体" w:hAnsi="宋体" w:eastAsia="宋体" w:cs="宋体"/>
          <w:color w:val="000000"/>
          <w:sz w:val="21"/>
          <w:szCs w:val="21"/>
        </w:rPr>
        <w:t>30.2招标文件、中标人的投标文件及招标过程中有关澄清、承诺文件均应作为合同附件。</w:t>
      </w:r>
    </w:p>
    <w:p w14:paraId="0CA68DB4">
      <w:pPr>
        <w:pStyle w:val="8"/>
        <w:spacing w:beforeAutospacing="0" w:afterAutospacing="0" w:line="360" w:lineRule="auto"/>
        <w:ind w:firstLine="600"/>
        <w:jc w:val="both"/>
        <w:rPr>
          <w:rFonts w:ascii="宋体" w:hAnsi="宋体" w:eastAsia="宋体" w:cs="宋体"/>
          <w:color w:val="000000"/>
          <w:sz w:val="21"/>
          <w:szCs w:val="21"/>
        </w:rPr>
      </w:pPr>
      <w:r>
        <w:rPr>
          <w:rFonts w:hint="eastAsia" w:ascii="宋体" w:hAnsi="宋体" w:eastAsia="宋体" w:cs="宋体"/>
          <w:color w:val="000000"/>
          <w:sz w:val="21"/>
          <w:szCs w:val="21"/>
        </w:rPr>
        <w:t>30.3签订合同后，</w:t>
      </w:r>
      <w:r>
        <w:rPr>
          <w:rFonts w:hint="eastAsia" w:ascii="宋体" w:hAnsi="宋体" w:eastAsia="宋体" w:cs="宋体"/>
          <w:i/>
          <w:color w:val="000000"/>
          <w:sz w:val="21"/>
          <w:szCs w:val="21"/>
          <w:u w:val="single"/>
        </w:rPr>
        <w:t>中标人不得将合同标的进行转包</w:t>
      </w:r>
      <w:r>
        <w:rPr>
          <w:rFonts w:hint="eastAsia" w:ascii="宋体" w:hAnsi="宋体" w:eastAsia="宋体" w:cs="宋体"/>
          <w:color w:val="000000"/>
          <w:sz w:val="21"/>
          <w:szCs w:val="21"/>
        </w:rPr>
        <w:t>。未经采购人同意，中标人也不得采用分包的形式履行合同，否则采购人有权终止合同。转包或分包造成采购人损失的，中标人应承担相应赔偿责任。</w:t>
      </w:r>
    </w:p>
    <w:p w14:paraId="6C96EF4E">
      <w:pPr>
        <w:pStyle w:val="8"/>
        <w:keepNext/>
        <w:keepLines/>
        <w:spacing w:beforeAutospacing="0" w:afterAutospacing="0" w:line="360" w:lineRule="auto"/>
        <w:ind w:firstLine="600"/>
        <w:jc w:val="both"/>
        <w:rPr>
          <w:rFonts w:ascii="宋体" w:hAnsi="宋体" w:eastAsia="宋体" w:cs="宋体"/>
          <w:sz w:val="21"/>
          <w:szCs w:val="21"/>
        </w:rPr>
      </w:pPr>
      <w:r>
        <w:rPr>
          <w:rFonts w:hint="eastAsia" w:ascii="宋体" w:hAnsi="宋体" w:eastAsia="宋体" w:cs="宋体"/>
          <w:color w:val="000000"/>
          <w:sz w:val="21"/>
          <w:szCs w:val="21"/>
        </w:rPr>
        <w:t>31、服务（包含与服务相关的</w:t>
      </w:r>
      <w:r>
        <w:rPr>
          <w:rFonts w:hint="eastAsia" w:ascii="宋体" w:hAnsi="宋体" w:eastAsia="宋体" w:cs="宋体"/>
          <w:color w:val="000000"/>
          <w:sz w:val="21"/>
          <w:szCs w:val="21"/>
          <w:lang w:val="en-US" w:eastAsia="zh-CN"/>
        </w:rPr>
        <w:t>文本材料</w:t>
      </w:r>
      <w:r>
        <w:rPr>
          <w:rFonts w:hint="eastAsia" w:ascii="宋体" w:hAnsi="宋体" w:eastAsia="宋体" w:cs="宋体"/>
          <w:color w:val="000000"/>
          <w:sz w:val="21"/>
          <w:szCs w:val="21"/>
        </w:rPr>
        <w:t>）的追加</w:t>
      </w:r>
    </w:p>
    <w:p w14:paraId="75677706">
      <w:pPr>
        <w:pStyle w:val="8"/>
        <w:spacing w:beforeAutospacing="0" w:afterAutospacing="0" w:line="360" w:lineRule="auto"/>
        <w:ind w:firstLine="480"/>
        <w:jc w:val="both"/>
        <w:rPr>
          <w:rFonts w:ascii="宋体" w:hAnsi="宋体" w:eastAsia="宋体" w:cs="宋体"/>
          <w:sz w:val="21"/>
          <w:szCs w:val="21"/>
        </w:rPr>
      </w:pPr>
      <w:r>
        <w:rPr>
          <w:rFonts w:hint="eastAsia" w:ascii="宋体" w:hAnsi="宋体" w:eastAsia="宋体" w:cs="宋体"/>
          <w:color w:val="000000"/>
          <w:sz w:val="21"/>
          <w:szCs w:val="21"/>
        </w:rPr>
        <w:t>31.1政府采购合同履行中，采购人需追加与合同标的相同的服务（包含与服务相关的</w:t>
      </w:r>
      <w:r>
        <w:rPr>
          <w:rFonts w:hint="eastAsia" w:ascii="宋体" w:hAnsi="宋体" w:eastAsia="宋体" w:cs="宋体"/>
          <w:color w:val="000000"/>
          <w:sz w:val="21"/>
          <w:szCs w:val="21"/>
          <w:lang w:val="en-US" w:eastAsia="zh-CN"/>
        </w:rPr>
        <w:t>文本材料</w:t>
      </w:r>
      <w:r>
        <w:rPr>
          <w:rFonts w:hint="eastAsia" w:ascii="宋体" w:hAnsi="宋体" w:eastAsia="宋体" w:cs="宋体"/>
          <w:color w:val="000000"/>
          <w:sz w:val="21"/>
          <w:szCs w:val="21"/>
        </w:rPr>
        <w:t>），在不改变合同其他条款的前提下，可以与中标人协商签订补充合同，但所有补充合同的采购金额不超过原合同金额10%。</w:t>
      </w:r>
    </w:p>
    <w:p w14:paraId="1D4E0C68">
      <w:pPr>
        <w:pStyle w:val="8"/>
        <w:keepNext/>
        <w:keepLines/>
        <w:spacing w:beforeAutospacing="0" w:afterAutospacing="0" w:line="360" w:lineRule="auto"/>
        <w:ind w:firstLine="600"/>
        <w:jc w:val="both"/>
        <w:rPr>
          <w:rFonts w:ascii="宋体" w:hAnsi="宋体" w:eastAsia="宋体" w:cs="宋体"/>
          <w:color w:val="000000"/>
          <w:sz w:val="21"/>
          <w:szCs w:val="21"/>
        </w:rPr>
      </w:pPr>
      <w:r>
        <w:rPr>
          <w:rFonts w:hint="eastAsia" w:ascii="宋体" w:hAnsi="宋体" w:eastAsia="宋体" w:cs="宋体"/>
          <w:color w:val="000000"/>
          <w:sz w:val="21"/>
          <w:szCs w:val="21"/>
        </w:rPr>
        <w:t>32.政府采购政策功能落实</w:t>
      </w:r>
    </w:p>
    <w:p w14:paraId="563EA28F">
      <w:pPr>
        <w:pStyle w:val="8"/>
        <w:keepNext/>
        <w:keepLines/>
        <w:spacing w:beforeAutospacing="0" w:afterAutospacing="0" w:line="360" w:lineRule="auto"/>
        <w:ind w:firstLine="600"/>
        <w:jc w:val="both"/>
        <w:rPr>
          <w:rFonts w:ascii="宋体" w:hAnsi="宋体" w:eastAsia="宋体" w:cs="宋体"/>
          <w:color w:val="000000"/>
          <w:sz w:val="21"/>
          <w:szCs w:val="21"/>
        </w:rPr>
      </w:pPr>
      <w:r>
        <w:rPr>
          <w:rFonts w:hint="eastAsia" w:ascii="宋体" w:hAnsi="宋体" w:eastAsia="宋体" w:cs="宋体"/>
          <w:color w:val="000000"/>
          <w:sz w:val="21"/>
          <w:szCs w:val="21"/>
        </w:rPr>
        <w:t>32.1政府采购线上合同信用融资政策</w:t>
      </w:r>
    </w:p>
    <w:p w14:paraId="3BEF2B4E">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15D23A1">
      <w:pPr>
        <w:tabs>
          <w:tab w:val="left" w:pos="1381"/>
        </w:tabs>
        <w:spacing w:line="360" w:lineRule="auto"/>
        <w:ind w:firstLine="482"/>
        <w:rPr>
          <w:rFonts w:ascii="宋体" w:hAnsi="宋体" w:eastAsia="宋体" w:cs="宋体"/>
          <w:color w:val="000000"/>
          <w:kern w:val="0"/>
          <w:szCs w:val="21"/>
        </w:rPr>
      </w:pPr>
      <w:r>
        <w:rPr>
          <w:rFonts w:hint="eastAsia" w:ascii="宋体" w:hAnsi="宋体" w:eastAsia="宋体" w:cs="宋体"/>
          <w:color w:val="000000"/>
          <w:kern w:val="0"/>
          <w:szCs w:val="21"/>
        </w:rPr>
        <w:t>32.2进口产品</w:t>
      </w:r>
    </w:p>
    <w:p w14:paraId="4D2CBE97">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8987E4C">
      <w:pPr>
        <w:tabs>
          <w:tab w:val="left" w:pos="1381"/>
        </w:tabs>
        <w:spacing w:line="360" w:lineRule="auto"/>
        <w:ind w:firstLine="482"/>
        <w:rPr>
          <w:rFonts w:ascii="宋体" w:hAnsi="宋体" w:eastAsia="宋体" w:cs="宋体"/>
          <w:color w:val="000000"/>
          <w:kern w:val="0"/>
          <w:szCs w:val="21"/>
        </w:rPr>
      </w:pPr>
      <w:r>
        <w:rPr>
          <w:rFonts w:hint="eastAsia" w:ascii="宋体" w:hAnsi="宋体" w:eastAsia="宋体" w:cs="宋体"/>
          <w:color w:val="000000"/>
          <w:kern w:val="0"/>
          <w:szCs w:val="21"/>
        </w:rPr>
        <w:t>32.3中小企业、监狱企业及残疾人福利性单位</w:t>
      </w:r>
    </w:p>
    <w:p w14:paraId="1D32027A">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32.3.1中小企业定义：</w:t>
      </w:r>
    </w:p>
    <w:p w14:paraId="2295C622">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6DEC896">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32.3.2供应商提供的货物、工程或者服务符合下列情形的，享受中小企业扶持政策：</w:t>
      </w:r>
    </w:p>
    <w:p w14:paraId="0BC21237">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32.3.2.1在货物采购项目中，货物由中小企业制造，即货物由中小企业生产且使用该中小企业商号或者注册商标；</w:t>
      </w:r>
    </w:p>
    <w:p w14:paraId="2F4174CA">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32.3.2.2在工程采购项目中，工程由中小企业承建，即工程施工单位为中小企业；</w:t>
      </w:r>
    </w:p>
    <w:p w14:paraId="7D2A34AF">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32.3.2.3在服务采购项目中，服务由中小企业承接，即提供服务的人员为中小企业依照《中华人民共和国劳动合同法》订立劳动合同的从业人员。</w:t>
      </w:r>
    </w:p>
    <w:p w14:paraId="57340C78">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32.3.3在货物采购项目中，供应商提供的货物既有中小企业制造货物，也有大型企业制造货物的，不享受中小企业扶持政策。</w:t>
      </w:r>
    </w:p>
    <w:p w14:paraId="02CF2AD8">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32.3.4以联合体形式参加政府采购活动，联合体各方均为中小企业的，联合体视同中小企业。其中，联合体各方均为小微企业的，联合体视同小微企业。</w:t>
      </w:r>
    </w:p>
    <w:p w14:paraId="60AB4C60">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9DE9A7">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32.3.6残疾人福利单位定义：享受政府采购支持政策的残疾人福利性单位应当同时满足以下条件：</w:t>
      </w:r>
    </w:p>
    <w:p w14:paraId="13196FEE">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32.3.6.1安置的残疾人占本单位在职职工人数的比例不低于25%（含25%），并且安置的残疾人人数不少于10 人（含10 人）；</w:t>
      </w:r>
    </w:p>
    <w:p w14:paraId="51E7C325">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32.3.6.2依法与安置的每位残疾人签订了一年以上（含一年）的劳动合同或服务协议；</w:t>
      </w:r>
    </w:p>
    <w:p w14:paraId="4336396F">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32.3.6.3为安置的每位残疾人按月足额缴纳了基本养老保险、基本医疗保险、失业保险、工伤保险和生育保险等社会保险费；</w:t>
      </w:r>
    </w:p>
    <w:p w14:paraId="12462CBF">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32.3.6.4通过银行等金融机构向安置的每位残疾人，按月支付了不低于单位所在区县适用的经省级人民政府批准的月最低工资标准的工资；</w:t>
      </w:r>
    </w:p>
    <w:p w14:paraId="292F5190">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32.3.6.5提供本单位制造的货物、承担的工程或者服务（以下简称产品），或者提供其他残疾人福利性单位制造的货物（不包括使用非残疾人福利性单位注册商标的货物）；</w:t>
      </w:r>
    </w:p>
    <w:p w14:paraId="1758C14E">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FC8575">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32.3.7本项目是否专门面向中小企业预留采购份额见第一章《</w:t>
      </w:r>
      <w:r>
        <w:rPr>
          <w:rFonts w:hint="eastAsia" w:ascii="宋体" w:hAnsi="宋体" w:eastAsia="宋体" w:cs="宋体"/>
          <w:sz w:val="21"/>
          <w:szCs w:val="21"/>
        </w:rPr>
        <w:t>招标公告</w:t>
      </w:r>
      <w:r>
        <w:rPr>
          <w:rFonts w:hint="eastAsia" w:ascii="宋体" w:hAnsi="宋体" w:eastAsia="宋体" w:cs="宋体"/>
          <w:color w:val="000000"/>
          <w:sz w:val="21"/>
          <w:szCs w:val="21"/>
        </w:rPr>
        <w:t>》。</w:t>
      </w:r>
    </w:p>
    <w:p w14:paraId="6C98B537">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32.3.8采购标的对应的中小企业划分标准所属行业见第四章《采购需求》。</w:t>
      </w:r>
    </w:p>
    <w:p w14:paraId="396CE568">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32.3.9小微企业价格评审优惠的政策：见第五章《评标方法和评标标准》。</w:t>
      </w:r>
    </w:p>
    <w:p w14:paraId="21A9AC50">
      <w:pPr>
        <w:pStyle w:val="8"/>
        <w:keepNext/>
        <w:keepLines/>
        <w:spacing w:beforeAutospacing="0" w:afterAutospacing="0" w:line="360" w:lineRule="auto"/>
        <w:ind w:firstLine="600"/>
        <w:jc w:val="both"/>
        <w:rPr>
          <w:rFonts w:ascii="宋体" w:hAnsi="宋体" w:eastAsia="宋体" w:cs="宋体"/>
          <w:color w:val="000000"/>
          <w:sz w:val="21"/>
          <w:szCs w:val="21"/>
        </w:rPr>
      </w:pPr>
      <w:r>
        <w:rPr>
          <w:rFonts w:hint="eastAsia" w:ascii="宋体" w:hAnsi="宋体" w:eastAsia="宋体" w:cs="宋体"/>
          <w:color w:val="000000"/>
          <w:sz w:val="21"/>
          <w:szCs w:val="21"/>
        </w:rPr>
        <w:t>32.4政府采购节能产品、环境标志产品</w:t>
      </w:r>
    </w:p>
    <w:p w14:paraId="05443143">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42293A9">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D877656">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32.5绿色包装</w:t>
      </w:r>
    </w:p>
    <w:p w14:paraId="30D3A712">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2BD319C">
      <w:pPr>
        <w:tabs>
          <w:tab w:val="left" w:pos="1381"/>
        </w:tabs>
        <w:spacing w:line="360" w:lineRule="auto"/>
        <w:ind w:firstLine="482"/>
        <w:rPr>
          <w:rFonts w:ascii="宋体" w:hAnsi="宋体" w:eastAsia="宋体" w:cs="宋体"/>
          <w:color w:val="000000"/>
          <w:kern w:val="0"/>
          <w:szCs w:val="21"/>
        </w:rPr>
      </w:pPr>
      <w:r>
        <w:rPr>
          <w:rFonts w:hint="eastAsia" w:ascii="宋体" w:hAnsi="宋体" w:eastAsia="宋体" w:cs="宋体"/>
          <w:color w:val="000000"/>
          <w:kern w:val="0"/>
          <w:szCs w:val="21"/>
        </w:rPr>
        <w:t>32.6政府采购创新产品</w:t>
      </w:r>
    </w:p>
    <w:p w14:paraId="6F24FFDE">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采购人优先采购各级政府部门公开发布的有效期内的创新产品、创新服务、首台套、首购首用等《目录》的创新产品。</w:t>
      </w:r>
    </w:p>
    <w:p w14:paraId="7978CB73">
      <w:pPr>
        <w:tabs>
          <w:tab w:val="left" w:pos="1381"/>
        </w:tabs>
        <w:spacing w:line="360" w:lineRule="auto"/>
        <w:ind w:firstLine="482"/>
        <w:rPr>
          <w:rFonts w:ascii="宋体" w:hAnsi="宋体" w:eastAsia="宋体" w:cs="宋体"/>
          <w:color w:val="000000"/>
          <w:kern w:val="0"/>
          <w:szCs w:val="21"/>
        </w:rPr>
      </w:pPr>
      <w:r>
        <w:rPr>
          <w:rFonts w:hint="eastAsia" w:ascii="宋体" w:hAnsi="宋体" w:eastAsia="宋体" w:cs="宋体"/>
          <w:color w:val="000000"/>
          <w:kern w:val="0"/>
          <w:szCs w:val="21"/>
        </w:rPr>
        <w:t xml:space="preserve">32.7绿色数据中心政策 </w:t>
      </w:r>
    </w:p>
    <w:p w14:paraId="2A21F8E2">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455C48C">
      <w:pPr>
        <w:tabs>
          <w:tab w:val="left" w:pos="1381"/>
        </w:tabs>
        <w:spacing w:line="360" w:lineRule="auto"/>
        <w:ind w:firstLine="482"/>
        <w:rPr>
          <w:rFonts w:ascii="宋体" w:hAnsi="宋体" w:eastAsia="宋体" w:cs="宋体"/>
          <w:color w:val="000000"/>
          <w:kern w:val="0"/>
          <w:szCs w:val="21"/>
        </w:rPr>
      </w:pPr>
      <w:r>
        <w:rPr>
          <w:rFonts w:hint="eastAsia" w:ascii="宋体" w:hAnsi="宋体" w:eastAsia="宋体" w:cs="宋体"/>
          <w:color w:val="000000"/>
          <w:kern w:val="0"/>
          <w:szCs w:val="21"/>
        </w:rPr>
        <w:t>32.8履约保证金政策</w:t>
      </w:r>
    </w:p>
    <w:p w14:paraId="196235E2">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确需收取履约保证金的，履约保证金的缴纳形式：</w:t>
      </w:r>
    </w:p>
    <w:p w14:paraId="67B9DEDD">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0A7B43A">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 如以履约保函（保险）形式缴纳履约保证金，供应商可通过政府采购电子履约保函（保险）平台（www.jsdzbh.com）在线申请履约保函（保险）。</w:t>
      </w:r>
    </w:p>
    <w:p w14:paraId="1CB9FD26">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63159BF">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33. 预付款制度</w:t>
      </w:r>
    </w:p>
    <w:p w14:paraId="4E4CBE0A">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本项目落实预付款制度，预付款比例为30%</w:t>
      </w:r>
      <w:r>
        <w:rPr>
          <w:rFonts w:hint="eastAsia" w:ascii="宋体" w:hAnsi="宋体" w:eastAsia="宋体" w:cs="宋体"/>
          <w:sz w:val="21"/>
          <w:szCs w:val="21"/>
        </w:rPr>
        <w:t>（原则上不低于合同金额的30%）</w:t>
      </w:r>
      <w:r>
        <w:rPr>
          <w:rFonts w:hint="eastAsia" w:ascii="宋体" w:hAnsi="宋体" w:eastAsia="宋体" w:cs="宋体"/>
          <w:color w:val="000000"/>
          <w:sz w:val="21"/>
          <w:szCs w:val="21"/>
        </w:rPr>
        <w:t>。在签订合同时，中标、成交供应商明确书面表示无需预付款或者主动要求降低预付款比例的，采购人可就预付款比例作相应调整。</w:t>
      </w:r>
    </w:p>
    <w:p w14:paraId="712374AD">
      <w:pPr>
        <w:pStyle w:val="8"/>
        <w:spacing w:beforeAutospacing="0" w:afterAutospacing="0" w:line="0" w:lineRule="atLeast"/>
        <w:ind w:firstLine="480"/>
        <w:jc w:val="both"/>
        <w:rPr>
          <w:rFonts w:ascii="宋体" w:hAnsi="宋体" w:eastAsia="宋体" w:cs="宋体"/>
          <w:color w:val="000000"/>
        </w:rPr>
      </w:pPr>
    </w:p>
    <w:p w14:paraId="783FF207">
      <w:pPr>
        <w:pStyle w:val="8"/>
        <w:spacing w:beforeAutospacing="0" w:afterAutospacing="0"/>
        <w:jc w:val="both"/>
        <w:rPr>
          <w:rFonts w:ascii="宋体" w:hAnsi="宋体" w:eastAsia="宋体" w:cs="宋体"/>
        </w:rPr>
      </w:pPr>
      <w:r>
        <w:rPr>
          <w:rFonts w:hint="eastAsia" w:ascii="宋体" w:hAnsi="宋体" w:eastAsia="宋体" w:cs="宋体"/>
        </w:rPr>
        <w:t> </w:t>
      </w:r>
    </w:p>
    <w:p w14:paraId="4834E703">
      <w:pPr>
        <w:pStyle w:val="8"/>
        <w:spacing w:beforeAutospacing="0" w:afterAutospacing="0"/>
        <w:jc w:val="both"/>
        <w:rPr>
          <w:rFonts w:ascii="宋体" w:hAnsi="宋体" w:eastAsia="宋体" w:cs="宋体"/>
        </w:rPr>
      </w:pPr>
      <w:r>
        <w:rPr>
          <w:rFonts w:hint="eastAsia" w:ascii="宋体" w:hAnsi="宋体" w:eastAsia="宋体" w:cs="宋体"/>
        </w:rPr>
        <w:t> </w:t>
      </w:r>
    </w:p>
    <w:p w14:paraId="308F2A4B">
      <w:pPr>
        <w:pStyle w:val="8"/>
        <w:spacing w:beforeAutospacing="0" w:afterAutospacing="0"/>
        <w:jc w:val="both"/>
        <w:rPr>
          <w:rFonts w:ascii="宋体" w:hAnsi="宋体" w:eastAsia="宋体" w:cs="宋体"/>
        </w:rPr>
      </w:pPr>
      <w:r>
        <w:rPr>
          <w:rFonts w:hint="eastAsia" w:ascii="宋体" w:hAnsi="宋体" w:eastAsia="宋体" w:cs="宋体"/>
        </w:rPr>
        <w:t> </w:t>
      </w:r>
    </w:p>
    <w:p w14:paraId="7F564EAB">
      <w:pPr>
        <w:pStyle w:val="8"/>
        <w:spacing w:beforeAutospacing="0" w:afterAutospacing="0"/>
        <w:jc w:val="both"/>
        <w:rPr>
          <w:rFonts w:ascii="宋体" w:hAnsi="宋体" w:eastAsia="宋体" w:cs="宋体"/>
        </w:rPr>
      </w:pPr>
      <w:r>
        <w:rPr>
          <w:rFonts w:hint="eastAsia" w:ascii="宋体" w:hAnsi="宋体" w:eastAsia="宋体" w:cs="宋体"/>
        </w:rPr>
        <w:t> </w:t>
      </w:r>
    </w:p>
    <w:p w14:paraId="2D14E4A4">
      <w:pPr>
        <w:pStyle w:val="8"/>
        <w:spacing w:beforeAutospacing="0" w:afterAutospacing="0"/>
        <w:jc w:val="both"/>
        <w:rPr>
          <w:rFonts w:ascii="宋体" w:hAnsi="宋体" w:eastAsia="宋体" w:cs="宋体"/>
        </w:rPr>
      </w:pPr>
      <w:r>
        <w:rPr>
          <w:rFonts w:hint="eastAsia" w:ascii="宋体" w:hAnsi="宋体" w:eastAsia="宋体" w:cs="宋体"/>
        </w:rPr>
        <w:t> </w:t>
      </w:r>
    </w:p>
    <w:p w14:paraId="15943E6C">
      <w:pPr>
        <w:pStyle w:val="8"/>
        <w:spacing w:beforeAutospacing="0" w:afterAutospacing="0"/>
        <w:jc w:val="both"/>
        <w:rPr>
          <w:rFonts w:ascii="宋体" w:hAnsi="宋体" w:eastAsia="宋体" w:cs="宋体"/>
        </w:rPr>
      </w:pPr>
      <w:r>
        <w:rPr>
          <w:rFonts w:hint="eastAsia" w:ascii="宋体" w:hAnsi="宋体" w:eastAsia="宋体" w:cs="宋体"/>
        </w:rPr>
        <w:t> </w:t>
      </w:r>
    </w:p>
    <w:p w14:paraId="732B7CB7">
      <w:pPr>
        <w:pStyle w:val="8"/>
        <w:spacing w:beforeAutospacing="0" w:afterAutospacing="0"/>
        <w:jc w:val="both"/>
        <w:rPr>
          <w:rFonts w:ascii="宋体" w:hAnsi="宋体" w:eastAsia="宋体" w:cs="宋体"/>
        </w:rPr>
      </w:pPr>
    </w:p>
    <w:p w14:paraId="665C5D42">
      <w:pPr>
        <w:pStyle w:val="8"/>
        <w:keepNext/>
        <w:spacing w:beforeAutospacing="0" w:afterAutospacing="0"/>
        <w:jc w:val="center"/>
        <w:rPr>
          <w:rFonts w:ascii="黑体" w:hAnsi="宋体" w:eastAsia="黑体" w:cs="黑体"/>
          <w:color w:val="000000"/>
          <w:sz w:val="44"/>
          <w:szCs w:val="44"/>
        </w:rPr>
      </w:pPr>
    </w:p>
    <w:p w14:paraId="007292A9">
      <w:pPr>
        <w:rPr>
          <w:rFonts w:ascii="黑体" w:hAnsi="宋体" w:eastAsia="黑体" w:cs="黑体"/>
          <w:color w:val="000000"/>
          <w:sz w:val="44"/>
          <w:szCs w:val="44"/>
        </w:rPr>
      </w:pPr>
      <w:r>
        <w:rPr>
          <w:rFonts w:hint="eastAsia" w:ascii="黑体" w:hAnsi="宋体" w:eastAsia="黑体" w:cs="黑体"/>
          <w:color w:val="000000"/>
          <w:sz w:val="44"/>
          <w:szCs w:val="44"/>
        </w:rPr>
        <w:br w:type="page"/>
      </w:r>
    </w:p>
    <w:p w14:paraId="4670FD2A">
      <w:pPr>
        <w:spacing w:line="500" w:lineRule="exact"/>
        <w:jc w:val="center"/>
        <w:rPr>
          <w:sz w:val="24"/>
        </w:rPr>
      </w:pPr>
      <w:r>
        <w:rPr>
          <w:rFonts w:hint="eastAsia" w:ascii="黑体" w:hAnsi="宋体" w:eastAsia="黑体" w:cs="黑体"/>
          <w:color w:val="000000"/>
          <w:sz w:val="24"/>
        </w:rPr>
        <w:t>第三章  合同文本</w:t>
      </w:r>
    </w:p>
    <w:p w14:paraId="77AD0EB2">
      <w:pPr>
        <w:pStyle w:val="8"/>
        <w:spacing w:before="145" w:beforeAutospacing="0" w:after="145" w:afterAutospacing="0" w:line="348" w:lineRule="auto"/>
        <w:jc w:val="center"/>
      </w:pPr>
      <w:r>
        <w:t> </w:t>
      </w:r>
    </w:p>
    <w:p w14:paraId="4519B12F">
      <w:pPr>
        <w:pStyle w:val="8"/>
        <w:spacing w:before="145" w:beforeAutospacing="0" w:after="145" w:afterAutospacing="0" w:line="348" w:lineRule="auto"/>
        <w:jc w:val="center"/>
      </w:pPr>
      <w:r>
        <w:rPr>
          <w:rFonts w:hint="eastAsia" w:ascii="宋体" w:hAnsi="宋体" w:eastAsia="宋体" w:cs="宋体"/>
          <w:b/>
          <w:color w:val="000000"/>
        </w:rPr>
        <w:t>盐城市政府采购合同（服务）（合同编号）</w:t>
      </w:r>
    </w:p>
    <w:p w14:paraId="05AF2EEC">
      <w:pPr>
        <w:pStyle w:val="8"/>
        <w:spacing w:before="120" w:beforeAutospacing="0" w:after="120" w:afterAutospacing="0" w:line="360" w:lineRule="auto"/>
        <w:jc w:val="both"/>
        <w:rPr>
          <w:rFonts w:ascii="宋体" w:hAnsi="宋体" w:eastAsia="宋体" w:cs="宋体"/>
          <w:color w:val="000000"/>
          <w:sz w:val="21"/>
          <w:szCs w:val="21"/>
        </w:rPr>
      </w:pPr>
      <w:r>
        <w:rPr>
          <w:rFonts w:hint="eastAsia" w:ascii="宋体" w:hAnsi="宋体" w:eastAsia="宋体" w:cs="宋体"/>
          <w:color w:val="000000"/>
          <w:sz w:val="21"/>
          <w:szCs w:val="21"/>
        </w:rPr>
        <w:t>项目名称：</w:t>
      </w:r>
    </w:p>
    <w:p w14:paraId="2CA7B4DB">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项目编号：</w:t>
      </w:r>
    </w:p>
    <w:p w14:paraId="38D1F3FA">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甲方：（买方）_________</w:t>
      </w:r>
    </w:p>
    <w:p w14:paraId="69897D0F">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乙方：（卖方）_________</w:t>
      </w:r>
    </w:p>
    <w:p w14:paraId="5A8F8DFA">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甲、乙双方根据甲方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项目公开招标的结果，签署本合同。</w:t>
      </w:r>
    </w:p>
    <w:p w14:paraId="50468E61">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一、合同内容</w:t>
      </w:r>
    </w:p>
    <w:p w14:paraId="3DD101EB">
      <w:pPr>
        <w:pStyle w:val="8"/>
        <w:spacing w:before="120" w:beforeAutospacing="0" w:after="120" w:afterAutospacing="0" w:line="360" w:lineRule="auto"/>
        <w:jc w:val="both"/>
        <w:rPr>
          <w:rFonts w:hint="eastAsia" w:eastAsia="宋体"/>
          <w:sz w:val="21"/>
          <w:szCs w:val="21"/>
          <w:lang w:eastAsia="zh-CN"/>
        </w:rPr>
      </w:pPr>
      <w:r>
        <w:rPr>
          <w:rFonts w:hint="eastAsia" w:ascii="宋体" w:hAnsi="宋体" w:eastAsia="宋体" w:cs="宋体"/>
          <w:color w:val="000000"/>
          <w:sz w:val="21"/>
          <w:szCs w:val="21"/>
        </w:rPr>
        <w:t>1.1 标的名称：大丰港石化园区地下水污染风险溯源管控专项整治项目</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2025-2026</w:t>
      </w:r>
      <w:r>
        <w:rPr>
          <w:rFonts w:hint="eastAsia" w:ascii="宋体" w:hAnsi="宋体" w:eastAsia="宋体" w:cs="宋体"/>
          <w:color w:val="000000"/>
          <w:sz w:val="21"/>
          <w:szCs w:val="21"/>
          <w:lang w:eastAsia="zh-CN"/>
        </w:rPr>
        <w:t>）</w:t>
      </w:r>
    </w:p>
    <w:p w14:paraId="164376AE">
      <w:pPr>
        <w:pStyle w:val="8"/>
        <w:spacing w:before="120" w:beforeAutospacing="0" w:after="120" w:afterAutospacing="0" w:line="360" w:lineRule="auto"/>
        <w:jc w:val="both"/>
        <w:rPr>
          <w:rFonts w:eastAsia="宋体"/>
          <w:color w:val="FF0000"/>
          <w:sz w:val="21"/>
          <w:szCs w:val="21"/>
          <w:highlight w:val="yellow"/>
        </w:rPr>
      </w:pPr>
      <w:r>
        <w:rPr>
          <w:rFonts w:hint="eastAsia" w:ascii="宋体" w:hAnsi="宋体" w:eastAsia="宋体" w:cs="宋体"/>
          <w:color w:val="000000"/>
          <w:sz w:val="21"/>
          <w:szCs w:val="21"/>
        </w:rPr>
        <w:t>1.2标的质量：</w:t>
      </w:r>
      <w:r>
        <w:rPr>
          <w:rFonts w:hint="eastAsia" w:ascii="宋体" w:hAnsi="宋体" w:eastAsia="宋体" w:cs="宋体"/>
          <w:color w:val="000000"/>
          <w:sz w:val="21"/>
          <w:szCs w:val="21"/>
          <w:lang w:val="en-US" w:eastAsia="zh-CN"/>
        </w:rPr>
        <w:t>工作成果符合国家和江苏省有关标准规范的要求，整治工作完成情况报告符合生态环境主管部门的要求。</w:t>
      </w:r>
    </w:p>
    <w:p w14:paraId="352CB0AD">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1.3 标的数量（规模）：大丰港石化新材料产业园污染源排查、整治方案优化完善、监测数据比对分析、整治工作完成情况报告编制等工作。</w:t>
      </w:r>
    </w:p>
    <w:p w14:paraId="0E82B0EC">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1.4 履行时间（期限）：合同签订之日起开始，至2027年4月1日前完成招标的全部服务内容。</w:t>
      </w:r>
    </w:p>
    <w:p w14:paraId="46C9F991">
      <w:pPr>
        <w:pStyle w:val="8"/>
        <w:spacing w:before="120" w:beforeAutospacing="0" w:after="120" w:afterAutospacing="0" w:line="360" w:lineRule="auto"/>
        <w:jc w:val="both"/>
        <w:rPr>
          <w:rFonts w:hint="default" w:eastAsia="宋体"/>
          <w:sz w:val="21"/>
          <w:szCs w:val="21"/>
          <w:lang w:val="en-US" w:eastAsia="zh-CN"/>
        </w:rPr>
      </w:pPr>
      <w:r>
        <w:rPr>
          <w:rFonts w:hint="eastAsia" w:ascii="宋体" w:hAnsi="宋体" w:eastAsia="宋体" w:cs="宋体"/>
          <w:color w:val="000000"/>
          <w:sz w:val="21"/>
          <w:szCs w:val="21"/>
        </w:rPr>
        <w:t>1.5 履行地点：</w:t>
      </w:r>
      <w:r>
        <w:rPr>
          <w:rFonts w:hint="eastAsia" w:ascii="宋体" w:hAnsi="宋体" w:eastAsia="宋体" w:cs="宋体"/>
          <w:color w:val="000000"/>
          <w:sz w:val="21"/>
          <w:szCs w:val="21"/>
          <w:lang w:val="en-US" w:eastAsia="zh-CN"/>
        </w:rPr>
        <w:t>盐城市大丰区。</w:t>
      </w:r>
    </w:p>
    <w:p w14:paraId="4D78137B">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1.6履行方式：甲方自行验收并上报生态环境主管部门。</w:t>
      </w:r>
    </w:p>
    <w:p w14:paraId="12902D6D">
      <w:pPr>
        <w:pStyle w:val="8"/>
        <w:spacing w:before="120" w:beforeAutospacing="0" w:after="120" w:afterAutospacing="0" w:line="360" w:lineRule="auto"/>
        <w:jc w:val="both"/>
        <w:rPr>
          <w:rFonts w:eastAsia="宋体"/>
          <w:sz w:val="21"/>
          <w:szCs w:val="21"/>
        </w:rPr>
      </w:pPr>
      <w:r>
        <w:rPr>
          <w:rFonts w:hint="eastAsia" w:ascii="宋体" w:hAnsi="宋体" w:eastAsia="宋体" w:cs="宋体"/>
          <w:b/>
          <w:color w:val="000000"/>
          <w:sz w:val="21"/>
          <w:szCs w:val="21"/>
        </w:rPr>
        <w:t>二、合同价款</w:t>
      </w:r>
    </w:p>
    <w:p w14:paraId="402B7CF9">
      <w:pPr>
        <w:pStyle w:val="8"/>
        <w:spacing w:before="120" w:beforeAutospacing="0" w:after="120" w:afterAutospacing="0" w:line="360" w:lineRule="auto"/>
        <w:ind w:left="410" w:hanging="410"/>
        <w:jc w:val="both"/>
        <w:rPr>
          <w:rFonts w:ascii="宋体" w:hAnsi="宋体" w:eastAsia="宋体" w:cs="宋体"/>
          <w:color w:val="000000"/>
          <w:sz w:val="21"/>
          <w:szCs w:val="21"/>
        </w:rPr>
      </w:pPr>
      <w:r>
        <w:rPr>
          <w:rFonts w:hint="eastAsia" w:ascii="宋体" w:hAnsi="宋体" w:eastAsia="宋体" w:cs="宋体"/>
          <w:color w:val="000000"/>
          <w:sz w:val="21"/>
          <w:szCs w:val="21"/>
        </w:rPr>
        <w:t>2.1本合同价款金额含税为（大写）：____________________________________圆（_______________元）人民币。</w:t>
      </w:r>
    </w:p>
    <w:p w14:paraId="5F663625">
      <w:pPr>
        <w:pStyle w:val="8"/>
        <w:spacing w:before="120" w:beforeAutospacing="0" w:after="120" w:afterAutospacing="0" w:line="360" w:lineRule="auto"/>
        <w:ind w:left="410" w:hanging="410"/>
        <w:jc w:val="both"/>
        <w:rPr>
          <w:rFonts w:hint="eastAsia" w:ascii="宋体" w:hAnsi="宋体" w:eastAsia="宋体" w:cs="宋体"/>
          <w:color w:val="000000"/>
          <w:sz w:val="21"/>
          <w:szCs w:val="21"/>
        </w:rPr>
      </w:pPr>
      <w:r>
        <w:rPr>
          <w:rFonts w:hint="eastAsia" w:ascii="宋体" w:hAnsi="宋体" w:eastAsia="宋体" w:cs="宋体"/>
          <w:color w:val="000000"/>
          <w:sz w:val="21"/>
          <w:szCs w:val="21"/>
        </w:rPr>
        <w:t>2.2本合同为固定总价合同，合同价款应是乙方为完成本项目服务所有工作内容和后续服务等本项目招标文件规定的全部费用。乙方应充分考虑现场环境以及国家政策性调整等风险因素，在合同履行期间，合同价款不随国家政策或法规、标准及市场因素的变化而进行调整，也不因实际服务周期的延长或缩短而调整。</w:t>
      </w:r>
    </w:p>
    <w:p w14:paraId="6F38138A">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三、技术资料</w:t>
      </w:r>
    </w:p>
    <w:p w14:paraId="555276C3">
      <w:pPr>
        <w:pStyle w:val="8"/>
        <w:spacing w:before="120" w:beforeAutospacing="0" w:after="120" w:afterAutospacing="0" w:line="360" w:lineRule="auto"/>
        <w:ind w:left="410" w:hanging="410"/>
        <w:jc w:val="both"/>
        <w:rPr>
          <w:sz w:val="21"/>
          <w:szCs w:val="21"/>
        </w:rPr>
      </w:pPr>
      <w:r>
        <w:rPr>
          <w:rFonts w:hint="eastAsia" w:ascii="宋体" w:hAnsi="宋体" w:eastAsia="宋体" w:cs="宋体"/>
          <w:color w:val="000000"/>
          <w:sz w:val="21"/>
          <w:szCs w:val="21"/>
        </w:rPr>
        <w:t>3.1乙方应按招标文件规定及本合同约定的时间向甲方提供服务（包含与服务相关的</w:t>
      </w:r>
      <w:r>
        <w:rPr>
          <w:rFonts w:hint="eastAsia" w:ascii="宋体" w:hAnsi="宋体" w:eastAsia="宋体" w:cs="宋体"/>
          <w:color w:val="000000"/>
          <w:sz w:val="21"/>
          <w:szCs w:val="21"/>
          <w:lang w:val="en-US" w:eastAsia="zh-CN"/>
        </w:rPr>
        <w:t>文本材料</w:t>
      </w:r>
      <w:r>
        <w:rPr>
          <w:rFonts w:hint="eastAsia" w:ascii="宋体" w:hAnsi="宋体" w:eastAsia="宋体" w:cs="宋体"/>
          <w:color w:val="000000"/>
          <w:sz w:val="21"/>
          <w:szCs w:val="21"/>
        </w:rPr>
        <w:t>）的有关技术资料。</w:t>
      </w:r>
    </w:p>
    <w:p w14:paraId="57A30AC1">
      <w:pPr>
        <w:pStyle w:val="8"/>
        <w:spacing w:before="120" w:beforeAutospacing="0" w:after="120" w:afterAutospacing="0" w:line="360" w:lineRule="auto"/>
        <w:ind w:left="410" w:hanging="410"/>
        <w:jc w:val="both"/>
        <w:rPr>
          <w:rFonts w:eastAsia="宋体"/>
          <w:color w:val="FF0000"/>
          <w:sz w:val="21"/>
          <w:szCs w:val="21"/>
        </w:rPr>
      </w:pPr>
      <w:r>
        <w:rPr>
          <w:rFonts w:hint="eastAsia" w:ascii="宋体" w:hAnsi="宋体" w:eastAsia="宋体" w:cs="宋体"/>
          <w:color w:val="000000"/>
          <w:sz w:val="21"/>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否则甲方有权解除合同，乙方应赔偿甲方所有损失。</w:t>
      </w:r>
    </w:p>
    <w:p w14:paraId="24E067E1">
      <w:pPr>
        <w:pStyle w:val="8"/>
        <w:spacing w:before="120" w:beforeAutospacing="0" w:after="120" w:afterAutospacing="0" w:line="360" w:lineRule="auto"/>
        <w:ind w:left="412" w:hanging="412"/>
        <w:jc w:val="both"/>
        <w:rPr>
          <w:sz w:val="21"/>
          <w:szCs w:val="21"/>
        </w:rPr>
      </w:pPr>
      <w:r>
        <w:rPr>
          <w:rFonts w:hint="eastAsia" w:ascii="宋体" w:hAnsi="宋体" w:eastAsia="宋体" w:cs="宋体"/>
          <w:b/>
          <w:color w:val="000000"/>
          <w:sz w:val="21"/>
          <w:szCs w:val="21"/>
        </w:rPr>
        <w:t>四、知识产权</w:t>
      </w:r>
    </w:p>
    <w:p w14:paraId="4FFDED71">
      <w:pPr>
        <w:pStyle w:val="8"/>
        <w:spacing w:beforeAutospacing="0" w:afterAutospacing="0" w:line="360" w:lineRule="auto"/>
        <w:ind w:firstLine="480"/>
        <w:jc w:val="both"/>
        <w:rPr>
          <w:rFonts w:ascii="宋体" w:hAnsi="宋体" w:eastAsia="宋体" w:cs="宋体"/>
          <w:color w:val="FF0000"/>
          <w:sz w:val="21"/>
          <w:szCs w:val="21"/>
          <w:highlight w:val="yellow"/>
        </w:rPr>
      </w:pPr>
      <w:r>
        <w:rPr>
          <w:rFonts w:hint="eastAsia" w:ascii="宋体" w:hAnsi="宋体" w:eastAsia="宋体" w:cs="宋体"/>
          <w:color w:val="000000"/>
          <w:sz w:val="21"/>
          <w:szCs w:val="21"/>
        </w:rPr>
        <w:t>4.1甲方向乙方提供的所有相关资料以及乙方为履行本合同向甲方交付的服务及服务成果的知识产权均属于甲方。乙方应保证甲方在使用、接受本合同服务（包含与服务相关的货物）或其任何一部分时不受第三方提出侵犯其专利权、版权、商标权和工业设计权等知识产权的起诉。一旦出现侵权，由乙方负全部责任。同时消除对甲方产生的不利影响，如造成甲方损失的，乙方应承担赔偿责任。</w:t>
      </w:r>
    </w:p>
    <w:p w14:paraId="5B8AE58F">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五、产权担保</w:t>
      </w:r>
    </w:p>
    <w:p w14:paraId="7A959329">
      <w:pPr>
        <w:pStyle w:val="8"/>
        <w:spacing w:before="120" w:beforeAutospacing="0" w:after="120" w:afterAutospacing="0" w:line="360" w:lineRule="auto"/>
        <w:ind w:left="408" w:hanging="408"/>
        <w:jc w:val="both"/>
        <w:rPr>
          <w:sz w:val="21"/>
          <w:szCs w:val="21"/>
        </w:rPr>
      </w:pPr>
      <w:r>
        <w:rPr>
          <w:rFonts w:hint="eastAsia" w:ascii="宋体" w:hAnsi="宋体" w:eastAsia="宋体" w:cs="宋体"/>
          <w:color w:val="000000"/>
          <w:sz w:val="21"/>
          <w:szCs w:val="21"/>
        </w:rPr>
        <w:t>5.1乙方保证所交付的服务（包含与服务相关的货物）的所有权完全属于乙方且无任何抵押、查封等产权瑕疵。</w:t>
      </w:r>
    </w:p>
    <w:p w14:paraId="573B8188">
      <w:pPr>
        <w:pStyle w:val="8"/>
        <w:spacing w:before="120" w:beforeAutospacing="0" w:after="120" w:afterAutospacing="0" w:line="360" w:lineRule="auto"/>
        <w:ind w:left="410" w:hanging="410"/>
        <w:jc w:val="both"/>
        <w:rPr>
          <w:sz w:val="21"/>
          <w:szCs w:val="21"/>
        </w:rPr>
      </w:pPr>
      <w:r>
        <w:rPr>
          <w:rFonts w:hint="eastAsia" w:ascii="宋体" w:hAnsi="宋体" w:eastAsia="宋体" w:cs="宋体"/>
          <w:b/>
          <w:color w:val="000000"/>
          <w:sz w:val="21"/>
          <w:szCs w:val="21"/>
        </w:rPr>
        <w:t>六、履约保证金</w:t>
      </w:r>
    </w:p>
    <w:p w14:paraId="20E51F24">
      <w:pPr>
        <w:pStyle w:val="8"/>
        <w:spacing w:before="120" w:beforeAutospacing="0" w:after="120" w:afterAutospacing="0" w:line="360" w:lineRule="auto"/>
        <w:jc w:val="both"/>
        <w:rPr>
          <w:rFonts w:ascii="宋体" w:hAnsi="宋体" w:eastAsia="宋体" w:cs="宋体"/>
          <w:color w:val="000000"/>
          <w:sz w:val="21"/>
          <w:szCs w:val="21"/>
        </w:rPr>
      </w:pPr>
      <w:r>
        <w:rPr>
          <w:rFonts w:hint="eastAsia" w:ascii="宋体" w:hAnsi="宋体" w:eastAsia="宋体" w:cs="宋体"/>
          <w:color w:val="000000"/>
          <w:sz w:val="21"/>
          <w:szCs w:val="21"/>
        </w:rPr>
        <w:t>6.1乙方</w:t>
      </w:r>
      <w:r>
        <w:rPr>
          <w:rFonts w:hint="eastAsia" w:ascii="宋体" w:hAnsi="宋体" w:eastAsia="宋体" w:cs="宋体"/>
          <w:color w:val="000000"/>
          <w:sz w:val="21"/>
          <w:szCs w:val="21"/>
          <w:lang w:val="en-US" w:eastAsia="zh-CN"/>
        </w:rPr>
        <w:t>在合同签订后7日内</w:t>
      </w:r>
      <w:r>
        <w:rPr>
          <w:rFonts w:hint="eastAsia" w:ascii="宋体" w:hAnsi="宋体" w:eastAsia="宋体" w:cs="宋体"/>
          <w:color w:val="000000"/>
          <w:sz w:val="21"/>
          <w:szCs w:val="21"/>
        </w:rPr>
        <w:t>交纳人民币_________元作为本合同的履约保证金。</w:t>
      </w:r>
    </w:p>
    <w:p w14:paraId="10E86EAA">
      <w:pPr>
        <w:pStyle w:val="8"/>
        <w:spacing w:beforeAutospacing="0" w:afterAutospacing="0" w:line="360" w:lineRule="auto"/>
        <w:ind w:firstLine="480"/>
        <w:jc w:val="both"/>
        <w:rPr>
          <w:rFonts w:ascii="宋体" w:hAnsi="宋体" w:eastAsia="宋体" w:cs="宋体"/>
          <w:color w:val="000000"/>
          <w:sz w:val="21"/>
          <w:szCs w:val="21"/>
        </w:rPr>
      </w:pPr>
      <w:r>
        <w:rPr>
          <w:rFonts w:hint="eastAsia" w:ascii="宋体" w:hAnsi="宋体" w:eastAsia="宋体" w:cs="宋体"/>
          <w:color w:val="000000"/>
          <w:sz w:val="21"/>
          <w:szCs w:val="21"/>
        </w:rPr>
        <w:t>（备注：不得超过合同价款金额的10%，</w:t>
      </w:r>
      <w:r>
        <w:rPr>
          <w:rFonts w:hint="eastAsia" w:ascii="宋体" w:hAnsi="宋体" w:eastAsia="宋体" w:cs="宋体"/>
          <w:color w:val="000000"/>
          <w:sz w:val="21"/>
          <w:szCs w:val="21"/>
          <w:lang w:val="en-US" w:eastAsia="zh-CN"/>
        </w:rPr>
        <w:t>甲方</w:t>
      </w:r>
      <w:r>
        <w:rPr>
          <w:rFonts w:hint="eastAsia" w:ascii="宋体" w:hAnsi="宋体" w:eastAsia="宋体" w:cs="宋体"/>
          <w:color w:val="000000"/>
          <w:sz w:val="21"/>
          <w:szCs w:val="21"/>
        </w:rPr>
        <w:t>应当对AA评级及以上政府采购供应商（需提供信用管理部门备案的第三方信用报告）免收履约保证金或降低履约保证金缴纳比例。）</w:t>
      </w:r>
    </w:p>
    <w:p w14:paraId="3FEA2748">
      <w:pPr>
        <w:pStyle w:val="8"/>
        <w:spacing w:before="120" w:beforeAutospacing="0" w:after="120" w:afterAutospacing="0" w:line="360" w:lineRule="auto"/>
        <w:jc w:val="both"/>
        <w:rPr>
          <w:rFonts w:ascii="宋体" w:hAnsi="宋体" w:eastAsia="宋体" w:cs="宋体"/>
          <w:sz w:val="21"/>
          <w:szCs w:val="21"/>
        </w:rPr>
      </w:pPr>
      <w:r>
        <w:rPr>
          <w:rFonts w:hint="eastAsia" w:ascii="宋体" w:hAnsi="宋体" w:eastAsia="宋体" w:cs="宋体"/>
          <w:sz w:val="21"/>
          <w:szCs w:val="21"/>
        </w:rPr>
        <w:t>6.2确需收取履约保证金的，履约保证金的缴纳形式：</w:t>
      </w:r>
    </w:p>
    <w:p w14:paraId="14F1BF7D">
      <w:pPr>
        <w:pStyle w:val="8"/>
        <w:spacing w:before="120" w:beforeAutospacing="0" w:after="120" w:afterAutospacing="0" w:line="360" w:lineRule="auto"/>
        <w:jc w:val="both"/>
        <w:rPr>
          <w:rFonts w:ascii="宋体" w:hAnsi="宋体" w:eastAsia="宋体" w:cs="宋体"/>
          <w:sz w:val="21"/>
          <w:szCs w:val="21"/>
        </w:rPr>
      </w:pPr>
      <w:r>
        <w:rPr>
          <w:rFonts w:hint="eastAsia" w:ascii="宋体" w:hAnsi="宋体" w:eastAsia="宋体" w:cs="宋体"/>
          <w:sz w:val="21"/>
          <w:szCs w:val="21"/>
        </w:rPr>
        <w:t>6.2.1</w:t>
      </w:r>
      <w:r>
        <w:rPr>
          <w:rFonts w:hint="eastAsia" w:ascii="宋体" w:hAnsi="宋体" w:eastAsia="宋体" w:cs="宋体"/>
          <w:sz w:val="21"/>
          <w:szCs w:val="21"/>
          <w:lang w:val="en-US" w:eastAsia="zh-CN"/>
        </w:rPr>
        <w:t>乙方</w:t>
      </w:r>
      <w:r>
        <w:rPr>
          <w:rFonts w:hint="eastAsia" w:ascii="宋体" w:hAnsi="宋体" w:eastAsia="宋体" w:cs="宋体"/>
          <w:sz w:val="21"/>
          <w:szCs w:val="21"/>
        </w:rPr>
        <w:t>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94BD915">
      <w:pPr>
        <w:pStyle w:val="8"/>
        <w:spacing w:before="120" w:beforeAutospacing="0" w:after="120" w:afterAutospacing="0" w:line="360" w:lineRule="auto"/>
        <w:jc w:val="both"/>
        <w:rPr>
          <w:rFonts w:ascii="宋体" w:hAnsi="宋体" w:eastAsia="宋体" w:cs="宋体"/>
          <w:sz w:val="21"/>
          <w:szCs w:val="21"/>
        </w:rPr>
      </w:pPr>
      <w:r>
        <w:rPr>
          <w:rFonts w:hint="eastAsia" w:ascii="宋体" w:hAnsi="宋体" w:eastAsia="宋体" w:cs="宋体"/>
          <w:sz w:val="21"/>
          <w:szCs w:val="21"/>
        </w:rPr>
        <w:t>6.2.2 如以履约保函（保险）形式缴纳履约保证金，供应商可通过政府采购电子履约保函（保险）平台（www.jsdzbh.com）在线申请履约保函（保险）。</w:t>
      </w:r>
    </w:p>
    <w:p w14:paraId="0DD3B6BA">
      <w:pPr>
        <w:pStyle w:val="8"/>
        <w:spacing w:before="120" w:beforeAutospacing="0" w:after="120" w:afterAutospacing="0" w:line="360" w:lineRule="auto"/>
        <w:ind w:left="408" w:hanging="408"/>
        <w:jc w:val="both"/>
        <w:rPr>
          <w:sz w:val="21"/>
          <w:szCs w:val="21"/>
        </w:rPr>
      </w:pPr>
      <w:r>
        <w:rPr>
          <w:rFonts w:hint="eastAsia" w:ascii="宋体" w:hAnsi="宋体" w:eastAsia="宋体" w:cs="宋体"/>
          <w:sz w:val="21"/>
          <w:szCs w:val="21"/>
        </w:rPr>
        <w:t>6.3合同履行结束经甲方验收合格且乙方无违约情形后，甲方应及时退还交纳的履约保证金。</w:t>
      </w:r>
    </w:p>
    <w:p w14:paraId="0E15A49D">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6.4履约保证金的退还：</w:t>
      </w:r>
    </w:p>
    <w:p w14:paraId="6F58C07F">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6.4.1方式：退还至投标人缴纳履约保证金的账户。如为保函，在到期时自行失效。</w:t>
      </w:r>
    </w:p>
    <w:p w14:paraId="3ADDC172">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6.4.2时间：验收合格且采购人收到发票后30日内。</w:t>
      </w:r>
    </w:p>
    <w:p w14:paraId="68530F40">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6.4.3条件：按合同要求全部履约完成并经</w:t>
      </w:r>
      <w:r>
        <w:rPr>
          <w:rFonts w:hint="eastAsia" w:ascii="宋体" w:hAnsi="宋体" w:eastAsia="宋体" w:cs="宋体"/>
          <w:color w:val="000000" w:themeColor="text1"/>
          <w:kern w:val="0"/>
          <w:szCs w:val="21"/>
          <w:lang w:val="en-US" w:eastAsia="zh-CN"/>
          <w14:textFill>
            <w14:solidFill>
              <w14:schemeClr w14:val="tx1"/>
            </w14:solidFill>
          </w14:textFill>
        </w:rPr>
        <w:t>甲方</w:t>
      </w:r>
      <w:r>
        <w:rPr>
          <w:rFonts w:hint="eastAsia" w:ascii="宋体" w:hAnsi="宋体" w:eastAsia="宋体" w:cs="宋体"/>
          <w:color w:val="000000" w:themeColor="text1"/>
          <w:kern w:val="0"/>
          <w:szCs w:val="21"/>
          <w14:textFill>
            <w14:solidFill>
              <w14:schemeClr w14:val="tx1"/>
            </w14:solidFill>
          </w14:textFill>
        </w:rPr>
        <w:t>验收合格，且</w:t>
      </w:r>
      <w:r>
        <w:rPr>
          <w:rFonts w:hint="eastAsia" w:ascii="宋体" w:hAnsi="宋体" w:eastAsia="宋体" w:cs="宋体"/>
          <w:color w:val="000000" w:themeColor="text1"/>
          <w:kern w:val="0"/>
          <w:szCs w:val="21"/>
          <w:lang w:val="en-US" w:eastAsia="zh-CN"/>
          <w14:textFill>
            <w14:solidFill>
              <w14:schemeClr w14:val="tx1"/>
            </w14:solidFill>
          </w14:textFill>
        </w:rPr>
        <w:t>甲方</w:t>
      </w:r>
      <w:r>
        <w:rPr>
          <w:rFonts w:hint="eastAsia" w:ascii="宋体" w:hAnsi="宋体" w:eastAsia="宋体" w:cs="宋体"/>
          <w:color w:val="000000" w:themeColor="text1"/>
          <w:kern w:val="0"/>
          <w:szCs w:val="21"/>
          <w14:textFill>
            <w14:solidFill>
              <w14:schemeClr w14:val="tx1"/>
            </w14:solidFill>
          </w14:textFill>
        </w:rPr>
        <w:t>收到中标人出具的发票。</w:t>
      </w:r>
    </w:p>
    <w:p w14:paraId="557CE61C">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6.4.4不予退还情形：</w:t>
      </w:r>
    </w:p>
    <w:p w14:paraId="3394B489">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除不可抗力情况外，投标人出现下列情形之一的，其履约保证金，招标人将视情节决定不予退还或部分不予退还。</w:t>
      </w:r>
    </w:p>
    <w:p w14:paraId="6ADEC8FA">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（1）中标人无正当理由拒绝签订合同的，或者在签订合同时向采购人提出附加条件或者更改合同实质性内容要求的；</w:t>
      </w:r>
    </w:p>
    <w:p w14:paraId="7FD11D85">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（2）中标人不履行与采购人订立的合同的；</w:t>
      </w:r>
    </w:p>
    <w:p w14:paraId="14667D84">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（3）中标人所供货物或服务不符合招标文件规定要求的；</w:t>
      </w:r>
    </w:p>
    <w:p w14:paraId="3AE9F0B8">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（4）中标人采取欺骗、弄虚作假方式投标的或与其它投标人串通投标的；</w:t>
      </w:r>
    </w:p>
    <w:p w14:paraId="3BC48C6D">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（5）中标人将合同内容转包、违法分包的；</w:t>
      </w:r>
    </w:p>
    <w:p w14:paraId="7E4BF34E">
      <w:pPr>
        <w:spacing w:line="360" w:lineRule="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（6）中标人故意捏造事实或伪造证明材料，进行虚假恶意投诉或反映的。</w:t>
      </w:r>
    </w:p>
    <w:p w14:paraId="42C20301">
      <w:pPr>
        <w:spacing w:line="360" w:lineRule="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6.4.5逾期退还的违约责任：采购人逾期无故未退还履约保证金的，按中国人民银行授权全国银行间同业拆借中心公布的银行同期贷款市场报价利率（LPR）上浮20%后的利率支付超期资金占用费，但因供应商自身原因导致无法及时退还的除外。</w:t>
      </w:r>
    </w:p>
    <w:p w14:paraId="27FA0705">
      <w:pPr>
        <w:pStyle w:val="8"/>
        <w:spacing w:before="145" w:beforeAutospacing="0" w:after="145" w:afterAutospacing="0" w:line="360" w:lineRule="auto"/>
        <w:jc w:val="both"/>
        <w:rPr>
          <w:sz w:val="21"/>
          <w:szCs w:val="21"/>
        </w:rPr>
      </w:pPr>
      <w:r>
        <w:rPr>
          <w:rFonts w:hint="eastAsia" w:ascii="宋体" w:hAnsi="宋体" w:eastAsia="宋体" w:cs="宋体"/>
          <w:b/>
          <w:color w:val="000000"/>
          <w:sz w:val="21"/>
          <w:szCs w:val="21"/>
        </w:rPr>
        <w:t>七、合同转包或分包</w:t>
      </w:r>
    </w:p>
    <w:p w14:paraId="3DEC137F">
      <w:pPr>
        <w:pStyle w:val="8"/>
        <w:spacing w:before="145" w:beforeAutospacing="0" w:after="145" w:afterAutospacing="0" w:line="360" w:lineRule="auto"/>
        <w:jc w:val="both"/>
        <w:rPr>
          <w:sz w:val="21"/>
          <w:szCs w:val="21"/>
        </w:rPr>
      </w:pPr>
      <w:r>
        <w:rPr>
          <w:rFonts w:hint="eastAsia" w:ascii="宋体" w:hAnsi="宋体" w:eastAsia="宋体" w:cs="宋体"/>
          <w:color w:val="000000"/>
          <w:sz w:val="21"/>
          <w:szCs w:val="21"/>
        </w:rPr>
        <w:t>7.1乙方不得将合同标的转包给他人履行。</w:t>
      </w:r>
    </w:p>
    <w:p w14:paraId="24B4D052">
      <w:pPr>
        <w:pStyle w:val="8"/>
        <w:spacing w:before="145" w:beforeAutospacing="0" w:after="145" w:afterAutospacing="0" w:line="360" w:lineRule="auto"/>
        <w:jc w:val="both"/>
        <w:rPr>
          <w:sz w:val="21"/>
          <w:szCs w:val="21"/>
        </w:rPr>
      </w:pPr>
      <w:r>
        <w:rPr>
          <w:rFonts w:hint="eastAsia" w:ascii="宋体" w:hAnsi="宋体" w:eastAsia="宋体" w:cs="宋体"/>
          <w:color w:val="000000"/>
          <w:sz w:val="21"/>
          <w:szCs w:val="21"/>
        </w:rPr>
        <w:t>7.2乙方不得将合同标的分包给他人履行。</w:t>
      </w:r>
    </w:p>
    <w:p w14:paraId="47A8A3D1">
      <w:pPr>
        <w:pStyle w:val="8"/>
        <w:spacing w:before="145" w:beforeAutospacing="0" w:after="145" w:afterAutospacing="0" w:line="360" w:lineRule="auto"/>
        <w:jc w:val="both"/>
        <w:rPr>
          <w:rFonts w:hint="eastAsia" w:ascii="宋体" w:hAnsi="宋体" w:eastAsia="宋体" w:cs="宋体"/>
          <w:color w:val="000000"/>
          <w:sz w:val="21"/>
          <w:szCs w:val="21"/>
        </w:rPr>
      </w:pPr>
      <w:r>
        <w:rPr>
          <w:rFonts w:hint="eastAsia" w:ascii="宋体" w:hAnsi="宋体" w:eastAsia="宋体" w:cs="宋体"/>
          <w:color w:val="000000"/>
          <w:sz w:val="21"/>
          <w:szCs w:val="21"/>
        </w:rPr>
        <w:t>7.3乙方如有转包或未经甲方同意的分包行为，甲方有权解除合同，不予返还履约保证金，乙方应承担合同价款20%的违约金并赔偿甲方损失。</w:t>
      </w:r>
    </w:p>
    <w:p w14:paraId="2BA17473">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八、合同款项支付</w:t>
      </w:r>
    </w:p>
    <w:p w14:paraId="6BFD2C5A">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8.1合同款项的支付方式及进度安排</w:t>
      </w:r>
    </w:p>
    <w:p w14:paraId="6A9B6AF5">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8.1.1 预付款  支付时间：合同签订后，采购人收到预付款发票后10个工作日内，预付款支付比例：合同价款的30%。</w:t>
      </w:r>
    </w:p>
    <w:p w14:paraId="6D429F5D">
      <w:pPr>
        <w:pStyle w:val="8"/>
        <w:spacing w:before="120" w:beforeAutospacing="0" w:after="120" w:afterAutospacing="0" w:line="360" w:lineRule="auto"/>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8.1.2 尾款 支付时间：完成园区企业污染源溯源排查和园区公共区域污染源溯源排查、完成第一年地下水监测（含丰水期、枯水期）并提供监测报告经甲方验收合格后10个工作日内，支付合同价款的</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0%；完成第二年地下水监测（含丰水期、枯水期）并提供监测报告、完成监测数据趋势分析报告经甲方验收合格后10个工作日内，支付合同价款的</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0%；提交整治工作完成情况报告经甲方验收合格后</w:t>
      </w:r>
      <w:r>
        <w:rPr>
          <w:rFonts w:hint="eastAsia" w:ascii="宋体" w:hAnsi="宋体" w:eastAsia="宋体" w:cs="宋体"/>
          <w:color w:val="000000"/>
          <w:sz w:val="21"/>
          <w:szCs w:val="21"/>
          <w:lang w:val="en-US" w:eastAsia="zh-CN"/>
        </w:rPr>
        <w:t>当年一次性付清余款。</w:t>
      </w:r>
    </w:p>
    <w:p w14:paraId="649C37AA">
      <w:pPr>
        <w:pStyle w:val="8"/>
        <w:spacing w:before="120" w:beforeAutospacing="0" w:after="120" w:afterAutospacing="0" w:line="360" w:lineRule="auto"/>
        <w:jc w:val="both"/>
        <w:rPr>
          <w:rFonts w:hint="eastAsia" w:ascii="宋体" w:hAnsi="宋体" w:eastAsia="宋体" w:cs="宋体"/>
          <w:color w:val="000000"/>
          <w:sz w:val="21"/>
          <w:szCs w:val="21"/>
        </w:rPr>
      </w:pPr>
      <w:r>
        <w:rPr>
          <w:rFonts w:hint="eastAsia" w:ascii="宋体" w:hAnsi="宋体" w:eastAsia="宋体" w:cs="宋体"/>
          <w:color w:val="000000"/>
          <w:sz w:val="21"/>
          <w:szCs w:val="21"/>
        </w:rPr>
        <w:t>8.1.3付款前，乙方应提供合法合规增值税发票，上述付款无利息补偿。如乙方提供的发票不及时或存在其它瑕疵，则甲方付款时间相应顺延，并不承担任何违约责任。如因乙方提供的发票给甲方造成的经济损失，一切损失由乙方承担。</w:t>
      </w:r>
    </w:p>
    <w:p w14:paraId="58106C44">
      <w:pPr>
        <w:pStyle w:val="8"/>
        <w:spacing w:before="145" w:beforeAutospacing="0" w:after="145" w:afterAutospacing="0" w:line="360" w:lineRule="auto"/>
        <w:jc w:val="both"/>
        <w:rPr>
          <w:sz w:val="21"/>
          <w:szCs w:val="21"/>
        </w:rPr>
      </w:pPr>
      <w:r>
        <w:rPr>
          <w:rFonts w:hint="eastAsia" w:ascii="宋体" w:hAnsi="宋体" w:eastAsia="宋体" w:cs="宋体"/>
          <w:b/>
          <w:color w:val="000000"/>
          <w:sz w:val="21"/>
          <w:szCs w:val="21"/>
        </w:rPr>
        <w:t>九、税费</w:t>
      </w:r>
    </w:p>
    <w:p w14:paraId="0916620B">
      <w:pPr>
        <w:pStyle w:val="8"/>
        <w:spacing w:before="145" w:beforeAutospacing="0" w:after="145" w:afterAutospacing="0" w:line="360" w:lineRule="auto"/>
        <w:jc w:val="both"/>
        <w:rPr>
          <w:sz w:val="21"/>
          <w:szCs w:val="21"/>
        </w:rPr>
      </w:pPr>
      <w:r>
        <w:rPr>
          <w:rFonts w:hint="eastAsia" w:ascii="宋体" w:hAnsi="宋体" w:eastAsia="宋体" w:cs="宋体"/>
          <w:color w:val="000000"/>
          <w:sz w:val="21"/>
          <w:szCs w:val="21"/>
        </w:rPr>
        <w:t>9.1本合同执行中相关的一切税费均由乙方负担。</w:t>
      </w:r>
    </w:p>
    <w:p w14:paraId="3ABC04B5">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十、项目验收</w:t>
      </w:r>
    </w:p>
    <w:p w14:paraId="5A0D5CE2">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10.1甲方依法组织履约验收工作。</w:t>
      </w:r>
    </w:p>
    <w:p w14:paraId="4DB12EBB">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15A939A">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10.3对于实际使用人和甲方分离的项目，甲方邀请实际使用人参与验收。</w:t>
      </w:r>
    </w:p>
    <w:p w14:paraId="05475482">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10.</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C81C297">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10.</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912D9A5">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十一、违约责任</w:t>
      </w:r>
    </w:p>
    <w:p w14:paraId="23347106">
      <w:pPr>
        <w:pStyle w:val="8"/>
        <w:spacing w:before="120" w:beforeAutospacing="0" w:after="120" w:afterAutospacing="0" w:line="360" w:lineRule="auto"/>
        <w:ind w:left="410" w:hanging="410"/>
        <w:jc w:val="both"/>
        <w:rPr>
          <w:sz w:val="21"/>
          <w:szCs w:val="21"/>
        </w:rPr>
      </w:pPr>
      <w:r>
        <w:rPr>
          <w:rFonts w:hint="eastAsia" w:ascii="宋体" w:hAnsi="宋体" w:eastAsia="宋体" w:cs="宋体"/>
          <w:color w:val="000000"/>
          <w:sz w:val="21"/>
          <w:szCs w:val="21"/>
        </w:rPr>
        <w:t>11.1甲方无正当理由拒绝接受乙方提供服务的，甲方向乙方偿付拒绝接受服务合同价款总值</w:t>
      </w:r>
      <w:r>
        <w:rPr>
          <w:rFonts w:hint="eastAsia" w:ascii="宋体" w:hAnsi="宋体" w:eastAsia="宋体" w:cs="宋体"/>
          <w:color w:val="000000"/>
          <w:sz w:val="21"/>
          <w:szCs w:val="21"/>
          <w:u w:val="single"/>
        </w:rPr>
        <w:t xml:space="preserve"> 10% </w:t>
      </w:r>
      <w:r>
        <w:rPr>
          <w:rFonts w:hint="eastAsia" w:ascii="宋体" w:hAnsi="宋体" w:eastAsia="宋体" w:cs="宋体"/>
          <w:color w:val="000000"/>
          <w:sz w:val="21"/>
          <w:szCs w:val="21"/>
        </w:rPr>
        <w:t>的违约金。</w:t>
      </w:r>
    </w:p>
    <w:p w14:paraId="2DE0C41B">
      <w:pPr>
        <w:pStyle w:val="8"/>
        <w:spacing w:before="120" w:beforeAutospacing="0" w:after="120" w:afterAutospacing="0" w:line="360" w:lineRule="auto"/>
        <w:ind w:left="410" w:hanging="410"/>
        <w:jc w:val="both"/>
        <w:rPr>
          <w:sz w:val="21"/>
          <w:szCs w:val="21"/>
        </w:rPr>
      </w:pPr>
      <w:r>
        <w:rPr>
          <w:rFonts w:hint="eastAsia" w:ascii="宋体" w:hAnsi="宋体" w:eastAsia="宋体" w:cs="宋体"/>
          <w:color w:val="000000"/>
          <w:sz w:val="21"/>
          <w:szCs w:val="21"/>
        </w:rPr>
        <w:t>11.2甲方无故逾期验收和办理合同款项支付手续的,甲方应按逾期付款总额</w:t>
      </w:r>
      <w:r>
        <w:rPr>
          <w:rFonts w:hint="eastAsia" w:ascii="宋体" w:hAnsi="宋体" w:eastAsia="宋体" w:cs="宋体"/>
          <w:color w:val="000000"/>
          <w:sz w:val="21"/>
          <w:szCs w:val="21"/>
          <w:u w:val="single"/>
        </w:rPr>
        <w:t xml:space="preserve">千分之一 </w:t>
      </w:r>
      <w:r>
        <w:rPr>
          <w:rFonts w:hint="eastAsia" w:ascii="宋体" w:hAnsi="宋体" w:eastAsia="宋体" w:cs="宋体"/>
          <w:color w:val="000000"/>
          <w:sz w:val="21"/>
          <w:szCs w:val="21"/>
        </w:rPr>
        <w:t>每日向乙方支付违约金。</w:t>
      </w:r>
    </w:p>
    <w:p w14:paraId="22CFF9E1">
      <w:pPr>
        <w:pStyle w:val="8"/>
        <w:spacing w:before="120" w:beforeAutospacing="0" w:after="120" w:afterAutospacing="0" w:line="360" w:lineRule="auto"/>
        <w:ind w:left="410" w:hanging="410"/>
        <w:jc w:val="both"/>
        <w:rPr>
          <w:sz w:val="21"/>
          <w:szCs w:val="21"/>
        </w:rPr>
      </w:pPr>
      <w:r>
        <w:rPr>
          <w:rFonts w:hint="eastAsia" w:ascii="宋体" w:hAnsi="宋体" w:eastAsia="宋体" w:cs="宋体"/>
          <w:color w:val="000000"/>
          <w:sz w:val="21"/>
          <w:szCs w:val="21"/>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不予返还履约保证金，乙方应向甲方支付合同价款总额 </w:t>
      </w:r>
      <w:r>
        <w:rPr>
          <w:rFonts w:hint="eastAsia" w:ascii="宋体" w:hAnsi="宋体" w:eastAsia="宋体" w:cs="宋体"/>
          <w:color w:val="000000"/>
          <w:sz w:val="21"/>
          <w:szCs w:val="21"/>
          <w:u w:val="single"/>
        </w:rPr>
        <w:t xml:space="preserve">20% </w:t>
      </w:r>
      <w:r>
        <w:rPr>
          <w:rFonts w:hint="eastAsia" w:ascii="宋体" w:hAnsi="宋体" w:eastAsia="宋体" w:cs="宋体"/>
          <w:color w:val="000000"/>
          <w:sz w:val="21"/>
          <w:szCs w:val="21"/>
        </w:rPr>
        <w:t xml:space="preserve">的违约金，如造成甲方损失超过违约金的，超出部分由乙方继续承担赔偿责任。 </w:t>
      </w:r>
    </w:p>
    <w:p w14:paraId="1FB1FDD0">
      <w:pPr>
        <w:pStyle w:val="8"/>
        <w:spacing w:before="120" w:beforeAutospacing="0" w:after="120" w:afterAutospacing="0" w:line="360" w:lineRule="auto"/>
        <w:ind w:left="410" w:hanging="410"/>
        <w:jc w:val="both"/>
        <w:rPr>
          <w:sz w:val="21"/>
          <w:szCs w:val="21"/>
        </w:rPr>
      </w:pPr>
      <w:r>
        <w:rPr>
          <w:rFonts w:hint="eastAsia" w:ascii="宋体" w:hAnsi="宋体" w:eastAsia="宋体" w:cs="宋体"/>
          <w:color w:val="000000"/>
          <w:sz w:val="21"/>
          <w:szCs w:val="21"/>
        </w:rPr>
        <w:t>11.4乙方所提供服务的标准不符合合同约定及招标文件规定标准的，甲方有权拒绝接受服务，并可单方面解除合同，不予返还履约保证金，乙方应承担合同价款20%的违约金并赔偿甲方损失。</w:t>
      </w:r>
    </w:p>
    <w:p w14:paraId="0A62DC92">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十二、不可抗力事件处理</w:t>
      </w:r>
    </w:p>
    <w:p w14:paraId="0DB495DF">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12.1在合同</w:t>
      </w:r>
      <w:r>
        <w:rPr>
          <w:rFonts w:hint="eastAsia" w:ascii="宋体" w:hAnsi="宋体" w:eastAsia="宋体" w:cs="宋体"/>
          <w:color w:val="000000"/>
          <w:sz w:val="21"/>
          <w:szCs w:val="21"/>
          <w:lang w:val="en-US" w:eastAsia="zh-CN"/>
        </w:rPr>
        <w:t>履行期</w:t>
      </w:r>
      <w:r>
        <w:rPr>
          <w:rFonts w:hint="eastAsia" w:ascii="宋体" w:hAnsi="宋体" w:eastAsia="宋体" w:cs="宋体"/>
          <w:color w:val="000000"/>
          <w:sz w:val="21"/>
          <w:szCs w:val="21"/>
        </w:rPr>
        <w:t>内，任何一方因不可抗力事件导致不能履行合同，则合同履行期可延长，其延长期与不可抗力影响期相同。</w:t>
      </w:r>
    </w:p>
    <w:p w14:paraId="63E654C4">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12.2不可抗力事件发生后，应立即通知对方，并寄送有关权威机构出具的证明。</w:t>
      </w:r>
    </w:p>
    <w:p w14:paraId="164ECB5B">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12.3不可抗力事件延续120天以上，双方应通过友好协商，确定是否继续履行合同。</w:t>
      </w:r>
    </w:p>
    <w:p w14:paraId="67DC27F7">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十三、解决争议的方法</w:t>
      </w:r>
    </w:p>
    <w:p w14:paraId="03F61AA2">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13.1双方在签订、履行合同中所发生的一切争议，应通过友好协商解决。如协商不成，由甲方住所地人民法院管辖。</w:t>
      </w:r>
    </w:p>
    <w:p w14:paraId="13685B8C">
      <w:pPr>
        <w:pStyle w:val="8"/>
        <w:spacing w:before="120" w:beforeAutospacing="0" w:after="120" w:afterAutospacing="0" w:line="360" w:lineRule="auto"/>
        <w:jc w:val="both"/>
        <w:rPr>
          <w:sz w:val="21"/>
          <w:szCs w:val="21"/>
        </w:rPr>
      </w:pPr>
      <w:r>
        <w:rPr>
          <w:rFonts w:hint="eastAsia" w:ascii="宋体" w:hAnsi="宋体" w:eastAsia="宋体" w:cs="宋体"/>
          <w:b/>
          <w:color w:val="000000"/>
          <w:sz w:val="21"/>
          <w:szCs w:val="21"/>
        </w:rPr>
        <w:t>十四、合同生效及其他</w:t>
      </w:r>
    </w:p>
    <w:p w14:paraId="258CC129">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14.1本合同经双方法定代表人或授权代表签名并加盖单位公章后生效。</w:t>
      </w:r>
    </w:p>
    <w:p w14:paraId="23DAF752">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14.2本合同未尽事宜，遵照《民法典》、《政府采购法》有关条文执行。</w:t>
      </w:r>
    </w:p>
    <w:p w14:paraId="224ECBD3">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14.3 本合同正本一式两份，具有同等法律效力，甲方、乙方各执一份。</w:t>
      </w:r>
    </w:p>
    <w:p w14:paraId="43EE189F">
      <w:pPr>
        <w:pStyle w:val="8"/>
        <w:spacing w:before="120" w:beforeAutospacing="0" w:after="120" w:afterAutospacing="0" w:line="360" w:lineRule="auto"/>
        <w:ind w:left="480" w:hanging="480"/>
        <w:jc w:val="both"/>
        <w:rPr>
          <w:sz w:val="21"/>
          <w:szCs w:val="21"/>
        </w:rPr>
      </w:pPr>
      <w:r>
        <w:rPr>
          <w:rFonts w:hint="eastAsia" w:ascii="宋体" w:hAnsi="宋体" w:eastAsia="宋体" w:cs="宋体"/>
          <w:color w:val="000000"/>
          <w:sz w:val="21"/>
          <w:szCs w:val="21"/>
        </w:rPr>
        <w:t xml:space="preserve">  甲方：                        乙方： </w:t>
      </w:r>
    </w:p>
    <w:p w14:paraId="203363BB">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 xml:space="preserve">  地址：                        地址： </w:t>
      </w:r>
    </w:p>
    <w:p w14:paraId="6E85B9D9">
      <w:pPr>
        <w:pStyle w:val="8"/>
        <w:spacing w:before="120" w:beforeAutospacing="0" w:after="120" w:afterAutospacing="0" w:line="360" w:lineRule="auto"/>
        <w:jc w:val="both"/>
        <w:rPr>
          <w:sz w:val="21"/>
          <w:szCs w:val="21"/>
        </w:rPr>
      </w:pPr>
      <w:r>
        <w:rPr>
          <w:rFonts w:hint="eastAsia" w:ascii="宋体" w:hAnsi="宋体" w:eastAsia="宋体" w:cs="宋体"/>
          <w:color w:val="000000"/>
          <w:sz w:val="21"/>
          <w:szCs w:val="21"/>
        </w:rPr>
        <w:t>  法定代表人或授权代表：        法定代表人或授权代表：</w:t>
      </w:r>
    </w:p>
    <w:p w14:paraId="1B37AD86">
      <w:pPr>
        <w:pStyle w:val="8"/>
        <w:spacing w:before="120" w:beforeAutospacing="0" w:after="120" w:afterAutospacing="0" w:line="360" w:lineRule="auto"/>
        <w:ind w:firstLine="240"/>
        <w:jc w:val="both"/>
        <w:rPr>
          <w:sz w:val="21"/>
          <w:szCs w:val="21"/>
        </w:rPr>
      </w:pPr>
      <w:r>
        <w:rPr>
          <w:rFonts w:hint="eastAsia" w:ascii="宋体" w:hAnsi="宋体" w:eastAsia="宋体" w:cs="宋体"/>
          <w:color w:val="000000"/>
          <w:sz w:val="21"/>
          <w:szCs w:val="21"/>
        </w:rPr>
        <w:t xml:space="preserve">联系电话：               联系电话：          </w:t>
      </w:r>
    </w:p>
    <w:p w14:paraId="4208B28A">
      <w:pPr>
        <w:pStyle w:val="8"/>
        <w:spacing w:before="120" w:beforeAutospacing="0" w:after="120" w:afterAutospacing="0"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w:t>
      </w:r>
    </w:p>
    <w:p w14:paraId="417968E8">
      <w:pPr>
        <w:spacing w:line="360" w:lineRule="auto"/>
        <w:jc w:val="center"/>
        <w:rPr>
          <w:rFonts w:ascii="Calibri" w:hAnsi="Calibri" w:eastAsia="宋体" w:cs="Times New Roman"/>
          <w:sz w:val="44"/>
          <w:szCs w:val="44"/>
        </w:rPr>
      </w:pPr>
      <w:r>
        <w:rPr>
          <w:rFonts w:hint="eastAsia" w:ascii="宋体" w:hAnsi="宋体" w:eastAsia="宋体" w:cs="宋体"/>
          <w:color w:val="000000"/>
          <w:sz w:val="21"/>
          <w:szCs w:val="21"/>
        </w:rPr>
        <w:t>签订日期：      年    月   日</w:t>
      </w:r>
      <w:bookmarkStart w:id="171" w:name="_Toc479757211"/>
      <w:bookmarkStart w:id="172" w:name="_Toc20823346"/>
      <w:bookmarkStart w:id="173" w:name="_Toc16938590"/>
      <w:bookmarkStart w:id="174" w:name="_Toc120614244"/>
      <w:bookmarkStart w:id="175" w:name="_Toc462564139"/>
      <w:bookmarkStart w:id="176" w:name="_Hlt16619350"/>
      <w:bookmarkStart w:id="177" w:name="_Hlt16619369"/>
      <w:r>
        <w:rPr>
          <w:rFonts w:hint="eastAsia" w:ascii="黑体" w:hAnsi="宋体" w:eastAsia="黑体" w:cs="黑体"/>
          <w:color w:val="000000"/>
          <w:sz w:val="21"/>
          <w:szCs w:val="21"/>
        </w:rPr>
        <w:br w:type="page"/>
      </w:r>
      <w:r>
        <w:rPr>
          <w:rFonts w:hint="eastAsia" w:ascii="Calibri" w:hAnsi="宋体" w:eastAsia="宋体" w:cs="Times New Roman"/>
          <w:sz w:val="44"/>
          <w:szCs w:val="44"/>
        </w:rPr>
        <w:t>政府采购合同履约验收书</w:t>
      </w:r>
    </w:p>
    <w:p w14:paraId="69BA7554">
      <w:pPr>
        <w:spacing w:line="360" w:lineRule="auto"/>
        <w:ind w:firstLine="420" w:firstLineChars="200"/>
        <w:jc w:val="left"/>
        <w:rPr>
          <w:rFonts w:ascii="Calibri" w:hAnsi="Calibri" w:eastAsia="宋体" w:cs="Times New Roman"/>
          <w:color w:val="000000"/>
        </w:rPr>
      </w:pPr>
      <w:r>
        <w:rPr>
          <w:rFonts w:hint="eastAsia" w:ascii="Calibri" w:hAnsi="宋体" w:eastAsia="宋体" w:cs="Times New Roman"/>
          <w:szCs w:val="32"/>
        </w:rPr>
        <w:t>根据政府采购合同（编号：</w:t>
      </w:r>
      <w:r>
        <w:rPr>
          <w:rFonts w:ascii="Calibri" w:hAnsi="Calibri" w:eastAsia="宋体" w:cs="Times New Roman"/>
          <w:szCs w:val="32"/>
          <w:u w:val="single"/>
        </w:rPr>
        <w:t xml:space="preserve">          </w:t>
      </w:r>
      <w:r>
        <w:rPr>
          <w:rFonts w:hint="eastAsia" w:ascii="Calibri" w:hAnsi="宋体" w:eastAsia="宋体" w:cs="Times New Roman"/>
          <w:szCs w:val="32"/>
        </w:rPr>
        <w:t>）的约定，我单位组织对</w:t>
      </w:r>
      <w:r>
        <w:rPr>
          <w:rFonts w:hint="eastAsia" w:ascii="Calibri" w:hAnsi="宋体" w:eastAsia="宋体" w:cs="Times New Roman"/>
          <w:szCs w:val="32"/>
          <w:u w:val="single"/>
        </w:rPr>
        <w:t>（项目名称）</w:t>
      </w:r>
      <w:r>
        <w:rPr>
          <w:rFonts w:hint="eastAsia" w:ascii="Calibri" w:hAnsi="宋体" w:eastAsia="宋体" w:cs="Times New Roman"/>
          <w:szCs w:val="32"/>
        </w:rPr>
        <w:t>项目中标（成交）供应商</w:t>
      </w:r>
      <w:r>
        <w:rPr>
          <w:rFonts w:hint="eastAsia" w:ascii="Calibri" w:hAnsi="宋体" w:eastAsia="宋体" w:cs="Times New Roman"/>
          <w:szCs w:val="32"/>
          <w:u w:val="single"/>
        </w:rPr>
        <w:t>（公司名称）</w:t>
      </w:r>
      <w:r>
        <w:rPr>
          <w:rFonts w:hint="eastAsia" w:ascii="Calibri" w:hAnsi="宋体" w:eastAsia="宋体" w:cs="Times New Roman"/>
          <w:szCs w:val="32"/>
        </w:rPr>
        <w:t>提供的服务进行了履约验收，验收情况如下：</w:t>
      </w:r>
    </w:p>
    <w:tbl>
      <w:tblPr>
        <w:tblStyle w:val="10"/>
        <w:tblW w:w="4998" w:type="pct"/>
        <w:jc w:val="center"/>
        <w:tblLayout w:type="autofit"/>
        <w:tblCellMar>
          <w:top w:w="0" w:type="dxa"/>
          <w:left w:w="108" w:type="dxa"/>
          <w:bottom w:w="0" w:type="dxa"/>
          <w:right w:w="108" w:type="dxa"/>
        </w:tblCellMar>
      </w:tblPr>
      <w:tblGrid>
        <w:gridCol w:w="1842"/>
        <w:gridCol w:w="3266"/>
        <w:gridCol w:w="1885"/>
        <w:gridCol w:w="2857"/>
      </w:tblGrid>
      <w:tr w14:paraId="531451B6">
        <w:tblPrEx>
          <w:tblCellMar>
            <w:top w:w="0" w:type="dxa"/>
            <w:left w:w="108" w:type="dxa"/>
            <w:bottom w:w="0" w:type="dxa"/>
            <w:right w:w="108" w:type="dxa"/>
          </w:tblCellMar>
        </w:tblPrEx>
        <w:trPr>
          <w:trHeight w:val="855" w:hRule="atLeast"/>
          <w:jc w:val="center"/>
        </w:trPr>
        <w:tc>
          <w:tcPr>
            <w:tcW w:w="935" w:type="pct"/>
            <w:tcBorders>
              <w:top w:val="single" w:color="auto" w:sz="8" w:space="0"/>
              <w:left w:val="single" w:color="auto" w:sz="8" w:space="0"/>
              <w:bottom w:val="single" w:color="auto" w:sz="4" w:space="0"/>
              <w:right w:val="single" w:color="auto" w:sz="4" w:space="0"/>
            </w:tcBorders>
            <w:vAlign w:val="center"/>
          </w:tcPr>
          <w:p w14:paraId="31340AAE">
            <w:pPr>
              <w:spacing w:line="360" w:lineRule="auto"/>
              <w:jc w:val="center"/>
              <w:rPr>
                <w:rFonts w:ascii="Calibri" w:hAnsi="Calibri" w:eastAsia="宋体" w:cs="Times New Roman"/>
                <w:szCs w:val="32"/>
              </w:rPr>
            </w:pPr>
            <w:r>
              <w:rPr>
                <w:rFonts w:hint="eastAsia" w:ascii="Calibri" w:hAnsi="宋体" w:eastAsia="宋体" w:cs="Times New Roman"/>
                <w:szCs w:val="32"/>
              </w:rPr>
              <w:t>项目名称</w:t>
            </w:r>
          </w:p>
        </w:tc>
        <w:tc>
          <w:tcPr>
            <w:tcW w:w="1658" w:type="pct"/>
            <w:tcBorders>
              <w:top w:val="single" w:color="auto" w:sz="8" w:space="0"/>
              <w:left w:val="nil"/>
              <w:bottom w:val="single" w:color="auto" w:sz="4" w:space="0"/>
              <w:right w:val="single" w:color="auto" w:sz="4" w:space="0"/>
            </w:tcBorders>
            <w:vAlign w:val="center"/>
          </w:tcPr>
          <w:p w14:paraId="348A9605">
            <w:pPr>
              <w:spacing w:line="360" w:lineRule="auto"/>
              <w:jc w:val="center"/>
              <w:rPr>
                <w:rFonts w:ascii="Calibri" w:hAnsi="Calibri" w:eastAsia="宋体" w:cs="Times New Roman"/>
                <w:szCs w:val="32"/>
              </w:rPr>
            </w:pPr>
          </w:p>
        </w:tc>
        <w:tc>
          <w:tcPr>
            <w:tcW w:w="957" w:type="pct"/>
            <w:tcBorders>
              <w:top w:val="single" w:color="auto" w:sz="8" w:space="0"/>
              <w:left w:val="nil"/>
              <w:bottom w:val="single" w:color="auto" w:sz="4" w:space="0"/>
              <w:right w:val="single" w:color="auto" w:sz="4" w:space="0"/>
            </w:tcBorders>
            <w:vAlign w:val="center"/>
          </w:tcPr>
          <w:p w14:paraId="43AA0B5E">
            <w:pPr>
              <w:spacing w:line="360" w:lineRule="auto"/>
              <w:jc w:val="center"/>
              <w:rPr>
                <w:rFonts w:ascii="Calibri" w:hAnsi="Calibri" w:eastAsia="宋体" w:cs="Times New Roman"/>
                <w:szCs w:val="32"/>
              </w:rPr>
            </w:pPr>
            <w:r>
              <w:rPr>
                <w:rFonts w:hint="eastAsia" w:ascii="Calibri" w:hAnsi="宋体" w:eastAsia="宋体" w:cs="Times New Roman"/>
                <w:szCs w:val="32"/>
              </w:rPr>
              <w:t>项目地点</w:t>
            </w:r>
          </w:p>
        </w:tc>
        <w:tc>
          <w:tcPr>
            <w:tcW w:w="1448" w:type="pct"/>
            <w:tcBorders>
              <w:top w:val="single" w:color="auto" w:sz="8" w:space="0"/>
              <w:left w:val="nil"/>
              <w:bottom w:val="single" w:color="auto" w:sz="4" w:space="0"/>
              <w:right w:val="single" w:color="auto" w:sz="8" w:space="0"/>
            </w:tcBorders>
            <w:vAlign w:val="center"/>
          </w:tcPr>
          <w:p w14:paraId="6D82EEE9">
            <w:pPr>
              <w:spacing w:line="360" w:lineRule="auto"/>
              <w:jc w:val="center"/>
              <w:rPr>
                <w:rFonts w:ascii="Calibri" w:hAnsi="Calibri" w:eastAsia="宋体" w:cs="Times New Roman"/>
                <w:szCs w:val="32"/>
              </w:rPr>
            </w:pPr>
          </w:p>
        </w:tc>
      </w:tr>
      <w:tr w14:paraId="10C7062C">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4D8F90B4">
            <w:pPr>
              <w:spacing w:line="360" w:lineRule="auto"/>
              <w:jc w:val="center"/>
              <w:rPr>
                <w:rFonts w:ascii="Calibri" w:hAnsi="Calibri" w:eastAsia="宋体" w:cs="Times New Roman"/>
                <w:szCs w:val="32"/>
              </w:rPr>
            </w:pPr>
            <w:r>
              <w:rPr>
                <w:rFonts w:hint="eastAsia" w:ascii="Calibri" w:hAnsi="宋体" w:eastAsia="宋体" w:cs="Times New Roman"/>
                <w:szCs w:val="32"/>
              </w:rPr>
              <w:t>预算金额</w:t>
            </w:r>
          </w:p>
        </w:tc>
        <w:tc>
          <w:tcPr>
            <w:tcW w:w="1658" w:type="pct"/>
            <w:tcBorders>
              <w:top w:val="single" w:color="auto" w:sz="4" w:space="0"/>
              <w:left w:val="nil"/>
              <w:bottom w:val="single" w:color="auto" w:sz="4" w:space="0"/>
              <w:right w:val="single" w:color="auto" w:sz="4" w:space="0"/>
            </w:tcBorders>
            <w:vAlign w:val="center"/>
          </w:tcPr>
          <w:p w14:paraId="17AF1E36">
            <w:pPr>
              <w:spacing w:line="360" w:lineRule="auto"/>
              <w:jc w:val="center"/>
              <w:rPr>
                <w:rFonts w:ascii="Calibri" w:hAnsi="Calibri" w:eastAsia="宋体" w:cs="Times New Roman"/>
                <w:szCs w:val="32"/>
              </w:rPr>
            </w:pPr>
          </w:p>
        </w:tc>
        <w:tc>
          <w:tcPr>
            <w:tcW w:w="957" w:type="pct"/>
            <w:tcBorders>
              <w:top w:val="nil"/>
              <w:left w:val="nil"/>
              <w:bottom w:val="nil"/>
              <w:right w:val="nil"/>
            </w:tcBorders>
            <w:vAlign w:val="center"/>
          </w:tcPr>
          <w:p w14:paraId="3426C8C5">
            <w:pPr>
              <w:spacing w:line="360" w:lineRule="auto"/>
              <w:jc w:val="center"/>
              <w:rPr>
                <w:rFonts w:ascii="Calibri" w:hAnsi="Calibri" w:eastAsia="宋体" w:cs="Times New Roman"/>
                <w:szCs w:val="32"/>
              </w:rPr>
            </w:pPr>
            <w:r>
              <w:rPr>
                <w:rFonts w:hint="eastAsia" w:ascii="Calibri" w:hAnsi="宋体" w:eastAsia="宋体" w:cs="Times New Roman"/>
                <w:szCs w:val="32"/>
              </w:rPr>
              <w:t>承接单位</w:t>
            </w:r>
          </w:p>
        </w:tc>
        <w:tc>
          <w:tcPr>
            <w:tcW w:w="1448" w:type="pct"/>
            <w:tcBorders>
              <w:top w:val="nil"/>
              <w:left w:val="single" w:color="auto" w:sz="4" w:space="0"/>
              <w:bottom w:val="single" w:color="auto" w:sz="4" w:space="0"/>
              <w:right w:val="single" w:color="auto" w:sz="8" w:space="0"/>
            </w:tcBorders>
            <w:vAlign w:val="center"/>
          </w:tcPr>
          <w:p w14:paraId="4EF10E86">
            <w:pPr>
              <w:spacing w:line="360" w:lineRule="auto"/>
              <w:jc w:val="left"/>
              <w:rPr>
                <w:rFonts w:ascii="Calibri" w:hAnsi="Calibri" w:eastAsia="宋体" w:cs="Times New Roman"/>
                <w:szCs w:val="32"/>
              </w:rPr>
            </w:pPr>
          </w:p>
        </w:tc>
      </w:tr>
      <w:tr w14:paraId="1D1C9014">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3E447125">
            <w:pPr>
              <w:spacing w:line="360" w:lineRule="auto"/>
              <w:jc w:val="center"/>
              <w:rPr>
                <w:rFonts w:ascii="Calibri" w:hAnsi="Calibri" w:eastAsia="宋体" w:cs="Times New Roman"/>
                <w:szCs w:val="32"/>
              </w:rPr>
            </w:pPr>
            <w:r>
              <w:rPr>
                <w:rFonts w:hint="eastAsia" w:ascii="Calibri" w:hAnsi="宋体" w:eastAsia="宋体" w:cs="Times New Roman"/>
                <w:szCs w:val="32"/>
              </w:rPr>
              <w:t>合同时间</w:t>
            </w:r>
          </w:p>
        </w:tc>
        <w:tc>
          <w:tcPr>
            <w:tcW w:w="1658" w:type="pct"/>
            <w:tcBorders>
              <w:top w:val="single" w:color="auto" w:sz="4" w:space="0"/>
              <w:left w:val="nil"/>
              <w:bottom w:val="single" w:color="auto" w:sz="4" w:space="0"/>
              <w:right w:val="single" w:color="auto" w:sz="4" w:space="0"/>
            </w:tcBorders>
            <w:vAlign w:val="center"/>
          </w:tcPr>
          <w:p w14:paraId="62B563E4">
            <w:pPr>
              <w:spacing w:line="360" w:lineRule="auto"/>
              <w:jc w:val="center"/>
              <w:rPr>
                <w:rFonts w:ascii="Calibri" w:hAnsi="Calibri" w:eastAsia="宋体" w:cs="Times New Roman"/>
                <w:szCs w:val="32"/>
              </w:rPr>
            </w:pPr>
          </w:p>
        </w:tc>
        <w:tc>
          <w:tcPr>
            <w:tcW w:w="957" w:type="pct"/>
            <w:tcBorders>
              <w:top w:val="single" w:color="auto" w:sz="4" w:space="0"/>
              <w:left w:val="nil"/>
              <w:bottom w:val="single" w:color="auto" w:sz="4" w:space="0"/>
              <w:right w:val="single" w:color="auto" w:sz="4" w:space="0"/>
            </w:tcBorders>
            <w:vAlign w:val="center"/>
          </w:tcPr>
          <w:p w14:paraId="63C61EA8">
            <w:pPr>
              <w:spacing w:line="360" w:lineRule="auto"/>
              <w:jc w:val="center"/>
              <w:rPr>
                <w:rFonts w:ascii="Calibri" w:hAnsi="Calibri" w:eastAsia="宋体" w:cs="Times New Roman"/>
                <w:szCs w:val="32"/>
              </w:rPr>
            </w:pPr>
            <w:r>
              <w:rPr>
                <w:rFonts w:hint="eastAsia" w:ascii="Calibri" w:hAnsi="宋体" w:eastAsia="宋体" w:cs="Times New Roman"/>
                <w:szCs w:val="32"/>
              </w:rPr>
              <w:t>项目开始时间</w:t>
            </w:r>
          </w:p>
        </w:tc>
        <w:tc>
          <w:tcPr>
            <w:tcW w:w="1448" w:type="pct"/>
            <w:tcBorders>
              <w:top w:val="nil"/>
              <w:left w:val="nil"/>
              <w:bottom w:val="single" w:color="auto" w:sz="4" w:space="0"/>
              <w:right w:val="single" w:color="auto" w:sz="8" w:space="0"/>
            </w:tcBorders>
            <w:vAlign w:val="center"/>
          </w:tcPr>
          <w:p w14:paraId="42930466">
            <w:pPr>
              <w:spacing w:line="360" w:lineRule="auto"/>
              <w:jc w:val="center"/>
              <w:rPr>
                <w:rFonts w:ascii="Calibri" w:hAnsi="Calibri" w:eastAsia="宋体" w:cs="Times New Roman"/>
                <w:szCs w:val="32"/>
              </w:rPr>
            </w:pPr>
          </w:p>
        </w:tc>
      </w:tr>
      <w:tr w14:paraId="247CDE4E">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6BD00CA1">
            <w:pPr>
              <w:spacing w:line="360" w:lineRule="auto"/>
              <w:jc w:val="center"/>
              <w:rPr>
                <w:rFonts w:ascii="Calibri" w:hAnsi="Calibri" w:eastAsia="宋体" w:cs="Times New Roman"/>
                <w:szCs w:val="32"/>
              </w:rPr>
            </w:pPr>
            <w:r>
              <w:rPr>
                <w:rFonts w:hint="eastAsia" w:ascii="Calibri" w:hAnsi="宋体" w:eastAsia="宋体" w:cs="Times New Roman"/>
                <w:szCs w:val="32"/>
              </w:rPr>
              <w:t>项目结束时间</w:t>
            </w:r>
          </w:p>
        </w:tc>
        <w:tc>
          <w:tcPr>
            <w:tcW w:w="1658" w:type="pct"/>
            <w:tcBorders>
              <w:top w:val="single" w:color="auto" w:sz="4" w:space="0"/>
              <w:left w:val="nil"/>
              <w:bottom w:val="single" w:color="auto" w:sz="4" w:space="0"/>
              <w:right w:val="single" w:color="auto" w:sz="4" w:space="0"/>
            </w:tcBorders>
            <w:vAlign w:val="center"/>
          </w:tcPr>
          <w:p w14:paraId="278173A0">
            <w:pPr>
              <w:spacing w:line="360" w:lineRule="auto"/>
              <w:jc w:val="center"/>
              <w:rPr>
                <w:rFonts w:ascii="Calibri" w:hAnsi="Calibri" w:eastAsia="宋体" w:cs="Times New Roman"/>
                <w:szCs w:val="32"/>
              </w:rPr>
            </w:pPr>
          </w:p>
        </w:tc>
        <w:tc>
          <w:tcPr>
            <w:tcW w:w="957" w:type="pct"/>
            <w:tcBorders>
              <w:top w:val="nil"/>
              <w:left w:val="nil"/>
              <w:bottom w:val="single" w:color="auto" w:sz="4" w:space="0"/>
              <w:right w:val="single" w:color="auto" w:sz="4" w:space="0"/>
            </w:tcBorders>
            <w:vAlign w:val="center"/>
          </w:tcPr>
          <w:p w14:paraId="2C3D93C6">
            <w:pPr>
              <w:spacing w:line="360" w:lineRule="auto"/>
              <w:jc w:val="center"/>
              <w:rPr>
                <w:rFonts w:ascii="Calibri" w:hAnsi="Calibri" w:eastAsia="宋体" w:cs="Times New Roman"/>
                <w:szCs w:val="32"/>
              </w:rPr>
            </w:pPr>
            <w:r>
              <w:rPr>
                <w:rFonts w:hint="eastAsia" w:ascii="Calibri" w:hAnsi="宋体" w:eastAsia="宋体" w:cs="Times New Roman"/>
                <w:szCs w:val="32"/>
              </w:rPr>
              <w:t>项目联系人</w:t>
            </w:r>
          </w:p>
        </w:tc>
        <w:tc>
          <w:tcPr>
            <w:tcW w:w="1448" w:type="pct"/>
            <w:tcBorders>
              <w:top w:val="nil"/>
              <w:left w:val="nil"/>
              <w:bottom w:val="single" w:color="auto" w:sz="4" w:space="0"/>
              <w:right w:val="single" w:color="auto" w:sz="8" w:space="0"/>
            </w:tcBorders>
            <w:vAlign w:val="center"/>
          </w:tcPr>
          <w:p w14:paraId="515AD3D1">
            <w:pPr>
              <w:spacing w:line="360" w:lineRule="auto"/>
              <w:jc w:val="center"/>
              <w:rPr>
                <w:rFonts w:ascii="Calibri" w:hAnsi="Calibri" w:eastAsia="宋体" w:cs="Times New Roman"/>
                <w:szCs w:val="32"/>
              </w:rPr>
            </w:pPr>
          </w:p>
        </w:tc>
      </w:tr>
      <w:tr w14:paraId="38EC6389">
        <w:tblPrEx>
          <w:tblCellMar>
            <w:top w:w="0" w:type="dxa"/>
            <w:left w:w="108" w:type="dxa"/>
            <w:bottom w:w="0" w:type="dxa"/>
            <w:right w:w="108" w:type="dxa"/>
          </w:tblCellMar>
        </w:tblPrEx>
        <w:trPr>
          <w:trHeight w:val="3046"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656926F5">
            <w:pPr>
              <w:spacing w:line="360" w:lineRule="auto"/>
              <w:jc w:val="center"/>
              <w:rPr>
                <w:rFonts w:ascii="Calibri" w:hAnsi="Calibri" w:eastAsia="宋体" w:cs="Times New Roman"/>
                <w:b/>
                <w:bCs/>
                <w:szCs w:val="32"/>
              </w:rPr>
            </w:pPr>
            <w:r>
              <w:rPr>
                <w:rFonts w:hint="eastAsia" w:ascii="Calibri" w:hAnsi="宋体" w:eastAsia="宋体" w:cs="Times New Roman"/>
                <w:b/>
                <w:bCs/>
                <w:szCs w:val="32"/>
              </w:rPr>
              <w:t>验收情况和验收意见</w:t>
            </w:r>
          </w:p>
          <w:p w14:paraId="0E086FEE">
            <w:pPr>
              <w:spacing w:line="360" w:lineRule="auto"/>
              <w:rPr>
                <w:rFonts w:ascii="Calibri" w:hAnsi="Calibri" w:eastAsia="宋体" w:cs="Times New Roman"/>
                <w:szCs w:val="32"/>
              </w:rPr>
            </w:pPr>
            <w:r>
              <w:rPr>
                <w:rFonts w:hint="eastAsia" w:ascii="Calibri" w:hAnsi="宋体" w:eastAsia="宋体" w:cs="Times New Roman"/>
                <w:szCs w:val="32"/>
              </w:rPr>
              <w:t>（可另附）</w:t>
            </w:r>
          </w:p>
          <w:p w14:paraId="74BAB8A7">
            <w:pPr>
              <w:spacing w:line="360" w:lineRule="auto"/>
              <w:rPr>
                <w:rFonts w:ascii="Calibri" w:hAnsi="Calibri" w:eastAsia="宋体" w:cs="Times New Roman"/>
                <w:szCs w:val="32"/>
              </w:rPr>
            </w:pPr>
          </w:p>
          <w:p w14:paraId="3A4ACB8A">
            <w:pPr>
              <w:spacing w:line="360" w:lineRule="auto"/>
              <w:rPr>
                <w:rFonts w:ascii="Calibri" w:hAnsi="Calibri" w:eastAsia="宋体" w:cs="Times New Roman"/>
                <w:szCs w:val="32"/>
              </w:rPr>
            </w:pPr>
          </w:p>
          <w:p w14:paraId="626F441F">
            <w:pPr>
              <w:spacing w:line="360" w:lineRule="auto"/>
              <w:rPr>
                <w:rFonts w:ascii="Calibri" w:hAnsi="Calibri" w:eastAsia="宋体" w:cs="Times New Roman"/>
                <w:szCs w:val="32"/>
              </w:rPr>
            </w:pPr>
          </w:p>
          <w:p w14:paraId="6195550B">
            <w:pPr>
              <w:spacing w:line="360" w:lineRule="auto"/>
              <w:rPr>
                <w:rFonts w:ascii="Calibri" w:hAnsi="Calibri" w:eastAsia="宋体" w:cs="Times New Roman"/>
                <w:szCs w:val="32"/>
              </w:rPr>
            </w:pPr>
          </w:p>
        </w:tc>
      </w:tr>
      <w:tr w14:paraId="38A3C0B2">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5FB33EC2">
            <w:pPr>
              <w:spacing w:line="360" w:lineRule="auto"/>
              <w:jc w:val="left"/>
              <w:rPr>
                <w:rFonts w:ascii="Calibri" w:hAnsi="Calibri" w:eastAsia="宋体" w:cs="Times New Roman"/>
                <w:szCs w:val="32"/>
              </w:rPr>
            </w:pPr>
            <w:r>
              <w:rPr>
                <w:rFonts w:hint="eastAsia" w:ascii="Calibri" w:hAnsi="宋体" w:eastAsia="宋体" w:cs="Times New Roman"/>
                <w:szCs w:val="32"/>
              </w:rPr>
              <w:t>验收小组（签字）：</w:t>
            </w:r>
          </w:p>
          <w:p w14:paraId="7A7B76F5">
            <w:pPr>
              <w:spacing w:line="360" w:lineRule="auto"/>
              <w:jc w:val="left"/>
              <w:rPr>
                <w:rFonts w:ascii="Calibri" w:hAnsi="Calibri" w:eastAsia="宋体" w:cs="Times New Roman"/>
                <w:szCs w:val="32"/>
              </w:rPr>
            </w:pPr>
          </w:p>
          <w:p w14:paraId="6D8F9714">
            <w:pPr>
              <w:spacing w:line="360" w:lineRule="auto"/>
              <w:jc w:val="left"/>
              <w:rPr>
                <w:rFonts w:ascii="Calibri" w:hAnsi="Calibri" w:eastAsia="宋体" w:cs="Times New Roman"/>
                <w:szCs w:val="32"/>
              </w:rPr>
            </w:pPr>
            <w:r>
              <w:rPr>
                <w:rFonts w:hint="eastAsia" w:ascii="Calibri" w:hAnsi="宋体" w:eastAsia="宋体" w:cs="Times New Roman"/>
                <w:szCs w:val="32"/>
              </w:rPr>
              <w:t>　</w:t>
            </w:r>
            <w:r>
              <w:rPr>
                <w:rFonts w:ascii="Calibri" w:hAnsi="Calibri" w:eastAsia="宋体" w:cs="Times New Roman"/>
                <w:szCs w:val="32"/>
              </w:rPr>
              <w:br w:type="textWrapping"/>
            </w:r>
            <w:r>
              <w:rPr>
                <w:rFonts w:hint="eastAsia" w:ascii="Calibri" w:hAnsi="宋体" w:eastAsia="宋体" w:cs="Times New Roman"/>
                <w:szCs w:val="32"/>
              </w:rPr>
              <w:t>　　　　　</w:t>
            </w:r>
            <w:r>
              <w:rPr>
                <w:rFonts w:ascii="Calibri" w:hAnsi="Calibri" w:eastAsia="宋体" w:cs="Times New Roman"/>
                <w:szCs w:val="32"/>
              </w:rPr>
              <w:t xml:space="preserve">                              </w:t>
            </w:r>
            <w:r>
              <w:rPr>
                <w:rFonts w:hint="eastAsia" w:ascii="Calibri" w:hAnsi="宋体" w:eastAsia="宋体" w:cs="Times New Roman"/>
                <w:szCs w:val="32"/>
              </w:rPr>
              <w:t>年</w:t>
            </w:r>
            <w:r>
              <w:rPr>
                <w:rFonts w:ascii="Calibri" w:hAnsi="Calibri" w:eastAsia="宋体" w:cs="Times New Roman"/>
                <w:szCs w:val="32"/>
              </w:rPr>
              <w:t xml:space="preserve">    </w:t>
            </w:r>
            <w:r>
              <w:rPr>
                <w:rFonts w:hint="eastAsia" w:ascii="Calibri" w:hAnsi="宋体" w:eastAsia="宋体" w:cs="Times New Roman"/>
                <w:szCs w:val="32"/>
              </w:rPr>
              <w:t>月</w:t>
            </w:r>
            <w:r>
              <w:rPr>
                <w:rFonts w:ascii="Calibri" w:hAnsi="Calibri" w:eastAsia="宋体" w:cs="Times New Roman"/>
                <w:szCs w:val="32"/>
              </w:rPr>
              <w:t xml:space="preserve">    </w:t>
            </w:r>
            <w:r>
              <w:rPr>
                <w:rFonts w:hint="eastAsia" w:ascii="Calibri" w:hAnsi="宋体" w:eastAsia="宋体" w:cs="Times New Roman"/>
                <w:szCs w:val="32"/>
              </w:rPr>
              <w:t>日</w:t>
            </w:r>
          </w:p>
        </w:tc>
      </w:tr>
      <w:tr w14:paraId="31309BC1">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7D242BD3">
            <w:pPr>
              <w:spacing w:line="360" w:lineRule="auto"/>
              <w:jc w:val="left"/>
              <w:rPr>
                <w:rFonts w:ascii="Calibri" w:hAnsi="Calibri" w:eastAsia="宋体" w:cs="Times New Roman"/>
                <w:szCs w:val="32"/>
              </w:rPr>
            </w:pPr>
            <w:r>
              <w:rPr>
                <w:rFonts w:hint="eastAsia" w:ascii="Calibri" w:hAnsi="宋体" w:eastAsia="宋体" w:cs="Times New Roman"/>
                <w:szCs w:val="32"/>
              </w:rPr>
              <w:t>供应商确认意见（签章）：</w:t>
            </w:r>
          </w:p>
          <w:p w14:paraId="6FB24293">
            <w:pPr>
              <w:spacing w:line="360" w:lineRule="auto"/>
              <w:jc w:val="left"/>
              <w:rPr>
                <w:rFonts w:ascii="Calibri" w:hAnsi="Calibri" w:eastAsia="宋体" w:cs="Times New Roman"/>
                <w:szCs w:val="32"/>
              </w:rPr>
            </w:pPr>
            <w:r>
              <w:rPr>
                <w:rFonts w:hint="eastAsia" w:ascii="Calibri" w:hAnsi="宋体" w:eastAsia="宋体" w:cs="Times New Roman"/>
                <w:szCs w:val="32"/>
              </w:rPr>
              <w:t>　</w:t>
            </w:r>
            <w:r>
              <w:rPr>
                <w:rFonts w:ascii="Calibri" w:hAnsi="Calibri" w:eastAsia="宋体" w:cs="Times New Roman"/>
                <w:szCs w:val="32"/>
              </w:rPr>
              <w:br w:type="textWrapping"/>
            </w:r>
            <w:r>
              <w:rPr>
                <w:rFonts w:hint="eastAsia" w:ascii="Calibri" w:hAnsi="宋体" w:eastAsia="宋体" w:cs="Times New Roman"/>
                <w:szCs w:val="32"/>
              </w:rPr>
              <w:t>　　</w:t>
            </w:r>
          </w:p>
          <w:p w14:paraId="24B0E43C">
            <w:pPr>
              <w:spacing w:line="360" w:lineRule="auto"/>
              <w:jc w:val="left"/>
              <w:rPr>
                <w:rFonts w:ascii="Calibri" w:hAnsi="Calibri" w:eastAsia="宋体" w:cs="Times New Roman"/>
                <w:szCs w:val="32"/>
              </w:rPr>
            </w:pPr>
            <w:r>
              <w:rPr>
                <w:rFonts w:hint="eastAsia" w:ascii="Calibri" w:hAnsi="宋体" w:eastAsia="宋体" w:cs="Times New Roman"/>
                <w:szCs w:val="32"/>
              </w:rPr>
              <w:t>　　　</w:t>
            </w:r>
            <w:r>
              <w:rPr>
                <w:rFonts w:ascii="Calibri" w:hAnsi="Calibri" w:eastAsia="宋体" w:cs="Times New Roman"/>
                <w:szCs w:val="32"/>
              </w:rPr>
              <w:t xml:space="preserve">                              </w:t>
            </w:r>
            <w:r>
              <w:rPr>
                <w:rFonts w:hint="eastAsia" w:ascii="Calibri" w:hAnsi="宋体" w:eastAsia="宋体" w:cs="Times New Roman"/>
                <w:szCs w:val="32"/>
              </w:rPr>
              <w:t>年</w:t>
            </w:r>
            <w:r>
              <w:rPr>
                <w:rFonts w:ascii="Calibri" w:hAnsi="Calibri" w:eastAsia="宋体" w:cs="Times New Roman"/>
                <w:szCs w:val="32"/>
              </w:rPr>
              <w:t xml:space="preserve">    </w:t>
            </w:r>
            <w:r>
              <w:rPr>
                <w:rFonts w:hint="eastAsia" w:ascii="Calibri" w:hAnsi="宋体" w:eastAsia="宋体" w:cs="Times New Roman"/>
                <w:szCs w:val="32"/>
              </w:rPr>
              <w:t>月</w:t>
            </w:r>
            <w:r>
              <w:rPr>
                <w:rFonts w:ascii="Calibri" w:hAnsi="Calibri" w:eastAsia="宋体" w:cs="Times New Roman"/>
                <w:szCs w:val="32"/>
              </w:rPr>
              <w:t xml:space="preserve">    </w:t>
            </w:r>
            <w:r>
              <w:rPr>
                <w:rFonts w:hint="eastAsia" w:ascii="Calibri" w:hAnsi="宋体" w:eastAsia="宋体" w:cs="Times New Roman"/>
                <w:szCs w:val="32"/>
              </w:rPr>
              <w:t>日</w:t>
            </w:r>
          </w:p>
        </w:tc>
      </w:tr>
      <w:tr w14:paraId="6ECCA98B">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30D3F94E">
            <w:pPr>
              <w:spacing w:line="360" w:lineRule="auto"/>
              <w:jc w:val="left"/>
              <w:rPr>
                <w:rFonts w:ascii="Calibri" w:hAnsi="Calibri" w:eastAsia="宋体" w:cs="Times New Roman"/>
                <w:szCs w:val="32"/>
              </w:rPr>
            </w:pPr>
            <w:r>
              <w:rPr>
                <w:rFonts w:hint="eastAsia" w:ascii="Calibri" w:hAnsi="宋体" w:eastAsia="宋体" w:cs="Times New Roman"/>
                <w:szCs w:val="32"/>
              </w:rPr>
              <w:t>采购人确认意见（签章）：</w:t>
            </w:r>
          </w:p>
          <w:p w14:paraId="4F0FF608">
            <w:pPr>
              <w:spacing w:line="360" w:lineRule="auto"/>
              <w:jc w:val="left"/>
              <w:rPr>
                <w:rFonts w:ascii="Calibri" w:hAnsi="Calibri" w:eastAsia="宋体" w:cs="Times New Roman"/>
                <w:szCs w:val="32"/>
              </w:rPr>
            </w:pPr>
          </w:p>
          <w:p w14:paraId="325E82CC">
            <w:pPr>
              <w:spacing w:line="360" w:lineRule="auto"/>
              <w:jc w:val="left"/>
              <w:rPr>
                <w:rFonts w:ascii="Calibri" w:hAnsi="Calibri" w:eastAsia="宋体" w:cs="Times New Roman"/>
                <w:szCs w:val="32"/>
              </w:rPr>
            </w:pPr>
            <w:r>
              <w:rPr>
                <w:rFonts w:ascii="Calibri" w:hAnsi="Calibri" w:eastAsia="宋体" w:cs="Times New Roman"/>
                <w:szCs w:val="32"/>
              </w:rPr>
              <w:br w:type="textWrapping"/>
            </w:r>
            <w:r>
              <w:rPr>
                <w:rFonts w:hint="eastAsia" w:ascii="Calibri" w:hAnsi="宋体" w:eastAsia="宋体" w:cs="Times New Roman"/>
                <w:szCs w:val="32"/>
              </w:rPr>
              <w:t>　　　　　</w:t>
            </w:r>
            <w:r>
              <w:rPr>
                <w:rFonts w:ascii="Calibri" w:hAnsi="Calibri" w:eastAsia="宋体" w:cs="Times New Roman"/>
                <w:szCs w:val="32"/>
              </w:rPr>
              <w:t xml:space="preserve">                              </w:t>
            </w:r>
            <w:r>
              <w:rPr>
                <w:rFonts w:hint="eastAsia" w:ascii="Calibri" w:hAnsi="宋体" w:eastAsia="宋体" w:cs="Times New Roman"/>
                <w:szCs w:val="32"/>
              </w:rPr>
              <w:t>年</w:t>
            </w:r>
            <w:r>
              <w:rPr>
                <w:rFonts w:ascii="Calibri" w:hAnsi="Calibri" w:eastAsia="宋体" w:cs="Times New Roman"/>
                <w:szCs w:val="32"/>
              </w:rPr>
              <w:t xml:space="preserve">    </w:t>
            </w:r>
            <w:r>
              <w:rPr>
                <w:rFonts w:hint="eastAsia" w:ascii="Calibri" w:hAnsi="宋体" w:eastAsia="宋体" w:cs="Times New Roman"/>
                <w:szCs w:val="32"/>
              </w:rPr>
              <w:t>月</w:t>
            </w:r>
            <w:r>
              <w:rPr>
                <w:rFonts w:ascii="Calibri" w:hAnsi="Calibri" w:eastAsia="宋体" w:cs="Times New Roman"/>
                <w:szCs w:val="32"/>
              </w:rPr>
              <w:t xml:space="preserve">    </w:t>
            </w:r>
            <w:r>
              <w:rPr>
                <w:rFonts w:hint="eastAsia" w:ascii="Calibri" w:hAnsi="宋体" w:eastAsia="宋体" w:cs="Times New Roman"/>
                <w:szCs w:val="32"/>
              </w:rPr>
              <w:t>日</w:t>
            </w:r>
          </w:p>
        </w:tc>
      </w:tr>
    </w:tbl>
    <w:p w14:paraId="2BF51D7D">
      <w:pPr>
        <w:pStyle w:val="8"/>
        <w:spacing w:before="120" w:beforeAutospacing="0" w:after="120" w:afterAutospacing="0" w:line="360" w:lineRule="auto"/>
        <w:jc w:val="center"/>
        <w:rPr>
          <w:rFonts w:hint="eastAsia" w:ascii="黑体" w:hAnsi="宋体" w:eastAsia="黑体" w:cs="黑体"/>
          <w:b/>
          <w:bCs/>
          <w:color w:val="000000"/>
          <w:sz w:val="36"/>
          <w:szCs w:val="36"/>
        </w:rPr>
      </w:pPr>
    </w:p>
    <w:p w14:paraId="62B62F33">
      <w:pPr>
        <w:pStyle w:val="8"/>
        <w:spacing w:before="120" w:beforeAutospacing="0" w:after="120" w:afterAutospacing="0" w:line="360" w:lineRule="auto"/>
        <w:jc w:val="center"/>
        <w:rPr>
          <w:sz w:val="21"/>
          <w:szCs w:val="21"/>
        </w:rPr>
      </w:pPr>
      <w:bookmarkStart w:id="204" w:name="_GoBack"/>
      <w:bookmarkEnd w:id="204"/>
      <w:r>
        <w:rPr>
          <w:rFonts w:hint="eastAsia" w:ascii="黑体" w:hAnsi="宋体" w:eastAsia="黑体" w:cs="黑体"/>
          <w:b/>
          <w:bCs/>
          <w:color w:val="000000"/>
          <w:sz w:val="36"/>
          <w:szCs w:val="36"/>
        </w:rPr>
        <w:t> 第</w:t>
      </w:r>
      <w:bookmarkEnd w:id="171"/>
      <w:r>
        <w:rPr>
          <w:rFonts w:hint="eastAsia" w:ascii="黑体" w:hAnsi="宋体" w:eastAsia="黑体" w:cs="黑体"/>
          <w:b/>
          <w:bCs/>
          <w:color w:val="000000"/>
          <w:sz w:val="36"/>
          <w:szCs w:val="36"/>
        </w:rPr>
        <w:t>四章 采购需求</w:t>
      </w:r>
      <w:bookmarkEnd w:id="172"/>
      <w:bookmarkEnd w:id="173"/>
      <w:bookmarkEnd w:id="174"/>
      <w:bookmarkEnd w:id="175"/>
      <w:bookmarkEnd w:id="176"/>
    </w:p>
    <w:p w14:paraId="023D93EB">
      <w:pPr>
        <w:pStyle w:val="8"/>
        <w:spacing w:beforeAutospacing="0" w:afterAutospacing="0" w:line="360" w:lineRule="auto"/>
        <w:ind w:firstLine="480"/>
        <w:jc w:val="both"/>
        <w:rPr>
          <w:rFonts w:ascii="宋体" w:hAnsi="宋体" w:eastAsia="宋体" w:cs="宋体"/>
          <w:color w:val="000000"/>
          <w:sz w:val="21"/>
          <w:szCs w:val="21"/>
        </w:rPr>
      </w:pPr>
      <w:bookmarkStart w:id="178" w:name="_Toc49090575"/>
      <w:bookmarkStart w:id="179" w:name="_Toc26554093"/>
      <w:r>
        <w:rPr>
          <w:rFonts w:hint="eastAsia" w:ascii="宋体" w:hAnsi="宋体" w:eastAsia="宋体" w:cs="宋体"/>
          <w:b/>
          <w:bCs/>
          <w:color w:val="000000"/>
          <w:sz w:val="21"/>
          <w:szCs w:val="21"/>
        </w:rPr>
        <w:t>项目属性:服务类项目。</w:t>
      </w:r>
      <w:bookmarkEnd w:id="178"/>
      <w:bookmarkEnd w:id="179"/>
      <w:r>
        <w:rPr>
          <w:rFonts w:hint="eastAsia" w:ascii="宋体" w:hAnsi="宋体" w:eastAsia="宋体" w:cs="宋体"/>
          <w:color w:val="000000"/>
          <w:sz w:val="21"/>
          <w:szCs w:val="21"/>
        </w:rPr>
        <w:t> </w:t>
      </w:r>
    </w:p>
    <w:p w14:paraId="0F60506D">
      <w:pPr>
        <w:spacing w:line="360" w:lineRule="auto"/>
        <w:rPr>
          <w:rFonts w:ascii="宋体" w:hAnsi="宋体" w:eastAsia="宋体" w:cs="宋体"/>
          <w:b/>
          <w:bCs/>
          <w:color w:val="000000"/>
          <w:kern w:val="0"/>
          <w:szCs w:val="21"/>
        </w:rPr>
      </w:pPr>
      <w:r>
        <w:rPr>
          <w:rFonts w:hint="eastAsia" w:ascii="宋体" w:hAnsi="宋体" w:eastAsia="宋体" w:cs="宋体"/>
          <w:b/>
          <w:bCs/>
          <w:color w:val="000000"/>
          <w:kern w:val="0"/>
          <w:szCs w:val="21"/>
        </w:rPr>
        <w:t>一、招标内容</w:t>
      </w:r>
    </w:p>
    <w:p w14:paraId="7CFA25F6">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根据《江苏省化工园区地下水污染专项整治工作实施方案》的要求，大丰港石化新材料产业园地下水污染风险分类为中风险等级，大丰港石化新材料产业园需开展污染源排查、整治方案优化完善、监测数据比对分析、整治工作完成情况报告编制等工作，具体包括按序时进度完成企业污染源溯源排查、开展园区公共区域污染源溯源排查、实施两个年度的地下水跟踪监测、开展监测数据趋势分析、动态更新国家平台上的有关信息、编制整治工作完成情况报告等。</w:t>
      </w:r>
    </w:p>
    <w:p w14:paraId="238F4056">
      <w:pPr>
        <w:spacing w:line="360" w:lineRule="auto"/>
        <w:ind w:firstLine="422" w:firstLineChars="200"/>
        <w:rPr>
          <w:rFonts w:ascii="宋体" w:hAnsi="宋体" w:eastAsia="宋体" w:cs="宋体"/>
          <w:b/>
          <w:bCs/>
          <w:color w:val="000000"/>
          <w:kern w:val="0"/>
          <w:szCs w:val="21"/>
        </w:rPr>
      </w:pPr>
      <w:r>
        <w:rPr>
          <w:rFonts w:hint="eastAsia" w:ascii="宋体" w:hAnsi="宋体" w:eastAsia="宋体" w:cs="宋体"/>
          <w:b/>
          <w:bCs/>
          <w:color w:val="000000"/>
          <w:kern w:val="0"/>
          <w:szCs w:val="21"/>
        </w:rPr>
        <w:t>1、园区企业污染源溯源排查</w:t>
      </w:r>
    </w:p>
    <w:p w14:paraId="49A3E15C">
      <w:pPr>
        <w:pStyle w:val="9"/>
        <w:ind w:firstLine="420"/>
        <w:rPr>
          <w:rFonts w:ascii="宋体" w:hAnsi="宋体" w:eastAsia="宋体" w:cs="宋体"/>
          <w:color w:val="000000"/>
          <w:kern w:val="0"/>
          <w:sz w:val="21"/>
          <w:szCs w:val="21"/>
        </w:rPr>
      </w:pPr>
      <w:r>
        <w:rPr>
          <w:rFonts w:hint="eastAsia" w:ascii="宋体" w:hAnsi="宋体" w:eastAsia="宋体" w:cs="宋体"/>
          <w:color w:val="000000"/>
          <w:kern w:val="0"/>
          <w:sz w:val="21"/>
          <w:szCs w:val="21"/>
        </w:rPr>
        <w:t>基于园区地下水详细调查的结果，采用现场人工踏勘排查的方式（不含管网检测、物探、同位素等使用辅助设备措施的溯源排查工作，不含需要开展监测采样的溯源排查工作），根据存在超标的地下水特征污染因子，结合园区企业自身生产涉及到的特征污染因子，跟踪溯源至可能造成该因子产生和排放的企业、生产单元、原辅料使用节点或排放途径等，形成问题清单，提出建议的整治完善措施或方案，编制排查报告。</w:t>
      </w:r>
    </w:p>
    <w:p w14:paraId="2F095027">
      <w:pPr>
        <w:pStyle w:val="9"/>
        <w:ind w:firstLine="422"/>
        <w:rPr>
          <w:rFonts w:ascii="宋体" w:hAnsi="宋体" w:eastAsia="宋体" w:cs="宋体"/>
          <w:b/>
          <w:bCs/>
          <w:color w:val="000000"/>
          <w:kern w:val="0"/>
          <w:sz w:val="21"/>
          <w:szCs w:val="21"/>
        </w:rPr>
      </w:pPr>
      <w:r>
        <w:rPr>
          <w:rFonts w:hint="eastAsia" w:ascii="宋体" w:hAnsi="宋体" w:eastAsia="宋体" w:cs="宋体"/>
          <w:b/>
          <w:bCs/>
          <w:color w:val="000000"/>
          <w:kern w:val="0"/>
          <w:sz w:val="21"/>
          <w:szCs w:val="21"/>
        </w:rPr>
        <w:t>2、园区公共区域污染源溯源排查</w:t>
      </w:r>
    </w:p>
    <w:p w14:paraId="1354B7D2">
      <w:pPr>
        <w:pStyle w:val="9"/>
        <w:ind w:firstLine="420"/>
        <w:rPr>
          <w:rFonts w:ascii="宋体" w:hAnsi="宋体" w:eastAsia="宋体" w:cs="宋体"/>
          <w:color w:val="000000"/>
          <w:kern w:val="0"/>
          <w:sz w:val="21"/>
          <w:szCs w:val="21"/>
        </w:rPr>
      </w:pPr>
      <w:r>
        <w:rPr>
          <w:rFonts w:hint="eastAsia" w:ascii="宋体" w:hAnsi="宋体" w:eastAsia="宋体" w:cs="宋体"/>
          <w:color w:val="000000"/>
          <w:kern w:val="0"/>
          <w:sz w:val="21"/>
          <w:szCs w:val="21"/>
        </w:rPr>
        <w:t>基于园区地下水详细调查的结果，采用现场人工踏勘排查的方式（不含管网检测、物探、同位素等使用辅助设备措施的溯源排查工作，不含需要开展监测采样的溯源排查工作），排查园区设施设备及管道管线渗漏、地面防渗层破损、历史遗留固废堆存等地下水环境污染隐患，锁定园区重点公共区域、明确重点设备设施、确定污染渗泄漏点，形成问题清单，提出建议的整治完善措施或方案，编制排查报告。</w:t>
      </w:r>
    </w:p>
    <w:p w14:paraId="341CA9FD">
      <w:pPr>
        <w:pStyle w:val="9"/>
        <w:ind w:firstLine="422"/>
        <w:rPr>
          <w:rFonts w:ascii="宋体" w:hAnsi="宋体" w:eastAsia="宋体" w:cs="宋体"/>
          <w:b/>
          <w:bCs/>
          <w:color w:val="000000"/>
          <w:kern w:val="0"/>
          <w:sz w:val="21"/>
          <w:szCs w:val="21"/>
        </w:rPr>
      </w:pPr>
      <w:r>
        <w:rPr>
          <w:rFonts w:hint="eastAsia" w:ascii="宋体" w:hAnsi="宋体" w:eastAsia="宋体" w:cs="宋体"/>
          <w:b/>
          <w:bCs/>
          <w:color w:val="000000"/>
          <w:kern w:val="0"/>
          <w:sz w:val="21"/>
          <w:szCs w:val="21"/>
        </w:rPr>
        <w:t>3、园区地下水跟踪监测及数据趋势分析</w:t>
      </w:r>
    </w:p>
    <w:p w14:paraId="4AB21950">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基于园区地下水详细调查的结果，按照《江苏省化工园区地下水污染专项整治工作实施方案》的要求，2025和2026年两年，对园区开展连续两个年度的地下水跟踪监测。园区共56个监测井，2025-2026年间，每年枯水期、丰水期各开展1次地下水跟踪监测（两年合计4次），监测园区地下水污染超标因子以及常规35项指标（不含微生物指标），形成监测报告。在此基础上，基于两年跟踪监测的结果，开展监测数据趋势分析，形成监测数据趋势分析报告。</w:t>
      </w:r>
    </w:p>
    <w:p w14:paraId="2D81FA10">
      <w:pPr>
        <w:spacing w:line="360" w:lineRule="auto"/>
        <w:ind w:firstLine="422" w:firstLineChars="200"/>
        <w:rPr>
          <w:rFonts w:ascii="宋体" w:hAnsi="宋体" w:eastAsia="宋体" w:cs="宋体"/>
          <w:b/>
          <w:bCs/>
          <w:color w:val="000000"/>
          <w:kern w:val="0"/>
          <w:szCs w:val="21"/>
        </w:rPr>
      </w:pPr>
      <w:r>
        <w:rPr>
          <w:rFonts w:hint="eastAsia" w:ascii="宋体" w:hAnsi="宋体" w:eastAsia="宋体" w:cs="宋体"/>
          <w:b/>
          <w:bCs/>
          <w:color w:val="000000"/>
          <w:kern w:val="0"/>
          <w:szCs w:val="21"/>
        </w:rPr>
        <w:t>4、国家平台有关信息动态更新</w:t>
      </w:r>
    </w:p>
    <w:p w14:paraId="6E631625">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按照《江苏省化工园区地下水污染专项整治工作实施方案》的要求，2025-2026年每年6月底前、12月底前在全国土壤环境信息平台上，更新填报大丰港石化新材料产业园地下水专项整治的工作进展情况。</w:t>
      </w:r>
    </w:p>
    <w:p w14:paraId="6A557D94">
      <w:pPr>
        <w:spacing w:line="360" w:lineRule="auto"/>
        <w:ind w:firstLine="422" w:firstLineChars="200"/>
        <w:rPr>
          <w:rFonts w:ascii="宋体" w:hAnsi="宋体" w:eastAsia="宋体" w:cs="宋体"/>
          <w:b/>
          <w:bCs/>
          <w:color w:val="000000"/>
          <w:kern w:val="0"/>
          <w:szCs w:val="21"/>
        </w:rPr>
      </w:pPr>
      <w:r>
        <w:rPr>
          <w:rFonts w:hint="eastAsia" w:ascii="宋体" w:hAnsi="宋体" w:eastAsia="宋体" w:cs="宋体"/>
          <w:b/>
          <w:bCs/>
          <w:color w:val="000000"/>
          <w:kern w:val="0"/>
          <w:szCs w:val="21"/>
        </w:rPr>
        <w:t>5、整治工作完成情况报告编制</w:t>
      </w:r>
    </w:p>
    <w:p w14:paraId="6CBF8595">
      <w:pPr>
        <w:pStyle w:val="9"/>
        <w:ind w:firstLine="420"/>
        <w:rPr>
          <w:rFonts w:ascii="宋体" w:hAnsi="宋体" w:eastAsia="宋体" w:cs="宋体"/>
          <w:color w:val="000000"/>
          <w:kern w:val="0"/>
          <w:sz w:val="21"/>
          <w:szCs w:val="21"/>
        </w:rPr>
      </w:pPr>
      <w:r>
        <w:rPr>
          <w:rFonts w:hint="eastAsia" w:ascii="宋体" w:hAnsi="宋体" w:eastAsia="宋体" w:cs="宋体"/>
          <w:color w:val="000000"/>
          <w:kern w:val="0"/>
          <w:sz w:val="21"/>
          <w:szCs w:val="21"/>
        </w:rPr>
        <w:t>按照《江苏省化工园区地下水污染专项整治工作实施方案》的要求，结合园区企业和公共区域污染源溯源排查情况、园区地下水跟踪监测及数据趋势分析情况、实际整治工作进展等，编制园区整治工作完成情况报告，并于2027年3月底前将整治工作完成情况报告上报生态环境主管部门。</w:t>
      </w:r>
    </w:p>
    <w:p w14:paraId="0A7497C6">
      <w:pPr>
        <w:spacing w:line="360" w:lineRule="auto"/>
        <w:rPr>
          <w:rFonts w:ascii="宋体" w:hAnsi="宋体" w:eastAsia="宋体" w:cs="宋体"/>
          <w:b/>
          <w:bCs/>
          <w:color w:val="000000"/>
          <w:kern w:val="0"/>
          <w:szCs w:val="21"/>
        </w:rPr>
      </w:pPr>
      <w:r>
        <w:rPr>
          <w:rFonts w:hint="eastAsia" w:ascii="宋体" w:hAnsi="宋体" w:eastAsia="宋体" w:cs="宋体"/>
          <w:b/>
          <w:bCs/>
          <w:color w:val="000000"/>
          <w:kern w:val="0"/>
          <w:szCs w:val="21"/>
        </w:rPr>
        <w:t>二、进度要求</w:t>
      </w:r>
    </w:p>
    <w:p w14:paraId="35EF371C">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合同签订后，2027年4月1日前，完成招标的全部服务内容，并将整治工作完成情况报告上报生态环境主管部门。</w:t>
      </w:r>
    </w:p>
    <w:p w14:paraId="3521FF25">
      <w:pPr>
        <w:spacing w:line="360" w:lineRule="auto"/>
        <w:rPr>
          <w:rFonts w:ascii="宋体" w:hAnsi="宋体" w:eastAsia="宋体" w:cs="宋体"/>
          <w:b/>
          <w:bCs/>
          <w:color w:val="000000"/>
          <w:kern w:val="0"/>
          <w:szCs w:val="21"/>
        </w:rPr>
      </w:pPr>
      <w:r>
        <w:rPr>
          <w:rFonts w:hint="eastAsia" w:ascii="宋体" w:hAnsi="宋体" w:eastAsia="宋体" w:cs="宋体"/>
          <w:b/>
          <w:bCs/>
          <w:color w:val="000000"/>
          <w:kern w:val="0"/>
          <w:szCs w:val="21"/>
        </w:rPr>
        <w:t>三、验收标准</w:t>
      </w:r>
    </w:p>
    <w:p w14:paraId="7445FD57">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1、乙方提交工作成果的形式：电子文件和纸质文本形式；</w:t>
      </w:r>
    </w:p>
    <w:p w14:paraId="3C14D6B6">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2、工作成果的验收标准：符合国家和江苏省有关标准规范的要求，整治工作完成情况报告符合生态环境主管部门的要求；</w:t>
      </w:r>
    </w:p>
    <w:p w14:paraId="067DD15F">
      <w:pPr>
        <w:spacing w:line="360" w:lineRule="auto"/>
        <w:ind w:firstLine="420" w:firstLineChars="200"/>
        <w:rPr>
          <w:rFonts w:ascii="宋体" w:hAnsi="宋体" w:eastAsia="宋体" w:cs="宋体"/>
          <w:color w:val="000000"/>
          <w:kern w:val="0"/>
          <w:szCs w:val="21"/>
        </w:rPr>
      </w:pPr>
      <w:r>
        <w:rPr>
          <w:rFonts w:hint="eastAsia" w:ascii="宋体" w:hAnsi="宋体" w:eastAsia="宋体" w:cs="宋体"/>
          <w:color w:val="000000"/>
          <w:kern w:val="0"/>
          <w:szCs w:val="21"/>
        </w:rPr>
        <w:t>3、工作成果的验收方法：甲方自行验收并上报生态环境主管部门；</w:t>
      </w:r>
    </w:p>
    <w:p w14:paraId="23D5E768">
      <w:pPr>
        <w:spacing w:line="360" w:lineRule="auto"/>
        <w:ind w:firstLine="420" w:firstLineChars="200"/>
        <w:rPr>
          <w:rFonts w:ascii="宋体" w:hAnsi="宋体" w:eastAsia="宋体" w:cs="宋体"/>
          <w:color w:val="000000"/>
          <w:kern w:val="0"/>
          <w:sz w:val="24"/>
        </w:rPr>
      </w:pPr>
      <w:r>
        <w:rPr>
          <w:rFonts w:hint="eastAsia" w:ascii="宋体" w:hAnsi="宋体" w:eastAsia="宋体" w:cs="宋体"/>
          <w:color w:val="000000"/>
          <w:kern w:val="0"/>
          <w:szCs w:val="21"/>
        </w:rPr>
        <w:t>4、验收的时间和地点：由甲乙双方积极沟通协商确定。</w:t>
      </w:r>
    </w:p>
    <w:p w14:paraId="601B359B">
      <w:pPr>
        <w:pStyle w:val="8"/>
        <w:spacing w:beforeAutospacing="0" w:afterAutospacing="0"/>
        <w:ind w:firstLine="602"/>
        <w:jc w:val="both"/>
        <w:rPr>
          <w:rFonts w:ascii="宋体" w:hAnsi="宋体" w:eastAsia="宋体" w:cs="宋体"/>
        </w:rPr>
      </w:pPr>
      <w:r>
        <w:rPr>
          <w:rFonts w:hint="eastAsia" w:ascii="宋体" w:hAnsi="宋体" w:eastAsia="宋体" w:cs="宋体"/>
        </w:rPr>
        <w:t> </w:t>
      </w:r>
    </w:p>
    <w:p w14:paraId="0EE45753">
      <w:pPr>
        <w:pStyle w:val="8"/>
        <w:spacing w:beforeAutospacing="0" w:afterAutospacing="0"/>
        <w:jc w:val="both"/>
        <w:rPr>
          <w:rFonts w:ascii="宋体" w:hAnsi="宋体" w:eastAsia="宋体" w:cs="宋体"/>
        </w:rPr>
      </w:pPr>
      <w:r>
        <w:rPr>
          <w:rFonts w:hint="eastAsia" w:ascii="宋体" w:hAnsi="宋体" w:eastAsia="宋体" w:cs="宋体"/>
        </w:rPr>
        <w:t> </w:t>
      </w:r>
    </w:p>
    <w:p w14:paraId="68F6C0B9">
      <w:pPr>
        <w:pStyle w:val="8"/>
        <w:tabs>
          <w:tab w:val="left" w:pos="6205"/>
        </w:tabs>
        <w:spacing w:beforeAutospacing="0" w:afterAutospacing="0"/>
        <w:jc w:val="both"/>
        <w:rPr>
          <w:rFonts w:ascii="宋体" w:hAnsi="宋体" w:eastAsia="宋体" w:cs="宋体"/>
        </w:rPr>
      </w:pPr>
      <w:r>
        <w:rPr>
          <w:rFonts w:hint="eastAsia" w:ascii="宋体" w:hAnsi="宋体" w:eastAsia="宋体" w:cs="宋体"/>
        </w:rPr>
        <w:t> </w:t>
      </w:r>
    </w:p>
    <w:p w14:paraId="5D4C748A">
      <w:pPr>
        <w:pStyle w:val="8"/>
        <w:keepNext/>
        <w:spacing w:beforeAutospacing="0" w:afterAutospacing="0"/>
        <w:jc w:val="center"/>
        <w:rPr>
          <w:rFonts w:ascii="宋体" w:hAnsi="宋体" w:eastAsia="宋体" w:cs="宋体"/>
        </w:rPr>
      </w:pPr>
      <w:bookmarkStart w:id="180" w:name="_Toc120614281"/>
      <w:r>
        <w:rPr>
          <w:rFonts w:hint="eastAsia" w:ascii="宋体" w:hAnsi="宋体" w:eastAsia="宋体" w:cs="宋体"/>
        </w:rPr>
        <w:t> </w:t>
      </w:r>
    </w:p>
    <w:p w14:paraId="591FAB39">
      <w:pPr>
        <w:pStyle w:val="8"/>
        <w:keepNext/>
        <w:spacing w:beforeAutospacing="0" w:afterAutospacing="0"/>
        <w:jc w:val="center"/>
        <w:rPr>
          <w:rFonts w:ascii="宋体" w:hAnsi="宋体" w:eastAsia="宋体" w:cs="宋体"/>
        </w:rPr>
      </w:pPr>
    </w:p>
    <w:p w14:paraId="2EF8826C">
      <w:pPr>
        <w:pStyle w:val="8"/>
        <w:keepNext/>
        <w:spacing w:beforeAutospacing="0" w:afterAutospacing="0"/>
        <w:jc w:val="center"/>
        <w:rPr>
          <w:rFonts w:ascii="宋体" w:hAnsi="宋体" w:eastAsia="宋体" w:cs="宋体"/>
        </w:rPr>
      </w:pPr>
    </w:p>
    <w:p w14:paraId="0EB04579">
      <w:pPr>
        <w:pStyle w:val="8"/>
        <w:keepNext/>
        <w:spacing w:beforeAutospacing="0" w:afterAutospacing="0"/>
        <w:jc w:val="center"/>
        <w:rPr>
          <w:rFonts w:ascii="宋体" w:hAnsi="宋体" w:eastAsia="宋体" w:cs="宋体"/>
        </w:rPr>
      </w:pPr>
    </w:p>
    <w:p w14:paraId="1B65FD70">
      <w:pPr>
        <w:pStyle w:val="8"/>
        <w:keepNext/>
        <w:spacing w:beforeAutospacing="0" w:afterAutospacing="0"/>
        <w:jc w:val="center"/>
        <w:rPr>
          <w:rFonts w:ascii="宋体" w:hAnsi="宋体" w:eastAsia="宋体" w:cs="宋体"/>
        </w:rPr>
      </w:pPr>
    </w:p>
    <w:p w14:paraId="32B87A4B">
      <w:pPr>
        <w:pStyle w:val="8"/>
        <w:keepNext/>
        <w:spacing w:beforeAutospacing="0" w:afterAutospacing="0"/>
        <w:jc w:val="center"/>
        <w:rPr>
          <w:rFonts w:ascii="宋体" w:hAnsi="宋体" w:eastAsia="宋体" w:cs="宋体"/>
        </w:rPr>
      </w:pPr>
    </w:p>
    <w:p w14:paraId="6A386975">
      <w:pPr>
        <w:pStyle w:val="8"/>
        <w:keepNext/>
        <w:spacing w:beforeAutospacing="0" w:afterAutospacing="0"/>
        <w:jc w:val="center"/>
        <w:rPr>
          <w:rFonts w:ascii="宋体" w:hAnsi="宋体" w:eastAsia="宋体" w:cs="宋体"/>
        </w:rPr>
      </w:pPr>
    </w:p>
    <w:p w14:paraId="1132A205">
      <w:pPr>
        <w:pStyle w:val="8"/>
        <w:keepNext/>
        <w:spacing w:beforeAutospacing="0" w:afterAutospacing="0"/>
        <w:jc w:val="center"/>
        <w:rPr>
          <w:rFonts w:ascii="宋体" w:hAnsi="宋体" w:eastAsia="宋体" w:cs="宋体"/>
        </w:rPr>
      </w:pPr>
    </w:p>
    <w:p w14:paraId="5E7E5E99">
      <w:pPr>
        <w:pStyle w:val="8"/>
        <w:keepNext/>
        <w:spacing w:beforeAutospacing="0" w:afterAutospacing="0"/>
        <w:jc w:val="center"/>
        <w:rPr>
          <w:rFonts w:ascii="宋体" w:hAnsi="宋体" w:eastAsia="宋体" w:cs="宋体"/>
        </w:rPr>
      </w:pPr>
    </w:p>
    <w:p w14:paraId="31000A0B">
      <w:pPr>
        <w:pStyle w:val="8"/>
        <w:keepNext/>
        <w:spacing w:beforeAutospacing="0" w:afterAutospacing="0"/>
        <w:jc w:val="center"/>
        <w:rPr>
          <w:rFonts w:ascii="宋体" w:hAnsi="宋体" w:eastAsia="宋体" w:cs="宋体"/>
        </w:rPr>
      </w:pPr>
    </w:p>
    <w:p w14:paraId="698E2880">
      <w:pPr>
        <w:pStyle w:val="8"/>
        <w:keepNext/>
        <w:spacing w:beforeAutospacing="0" w:afterAutospacing="0"/>
        <w:jc w:val="center"/>
        <w:rPr>
          <w:rFonts w:ascii="宋体" w:hAnsi="宋体" w:eastAsia="宋体" w:cs="宋体"/>
        </w:rPr>
      </w:pPr>
    </w:p>
    <w:p w14:paraId="0DB4B4E8">
      <w:pPr>
        <w:pStyle w:val="8"/>
        <w:keepNext/>
        <w:spacing w:beforeAutospacing="0" w:afterAutospacing="0"/>
        <w:jc w:val="center"/>
        <w:rPr>
          <w:rFonts w:ascii="宋体" w:hAnsi="宋体" w:eastAsia="宋体" w:cs="宋体"/>
        </w:rPr>
      </w:pPr>
    </w:p>
    <w:p w14:paraId="688CEC2A">
      <w:pPr>
        <w:pStyle w:val="8"/>
        <w:keepNext/>
        <w:spacing w:beforeAutospacing="0" w:afterAutospacing="0"/>
        <w:jc w:val="center"/>
        <w:rPr>
          <w:rFonts w:ascii="宋体" w:hAnsi="宋体" w:eastAsia="宋体" w:cs="宋体"/>
        </w:rPr>
      </w:pPr>
    </w:p>
    <w:p w14:paraId="014CF6D5">
      <w:pPr>
        <w:pStyle w:val="8"/>
        <w:keepNext/>
        <w:spacing w:beforeAutospacing="0" w:afterAutospacing="0"/>
        <w:jc w:val="center"/>
        <w:rPr>
          <w:rFonts w:ascii="宋体" w:hAnsi="宋体" w:eastAsia="宋体" w:cs="宋体"/>
        </w:rPr>
      </w:pPr>
    </w:p>
    <w:p w14:paraId="00A5E841">
      <w:pPr>
        <w:pStyle w:val="8"/>
        <w:keepNext/>
        <w:spacing w:beforeAutospacing="0" w:afterAutospacing="0"/>
        <w:jc w:val="center"/>
        <w:rPr>
          <w:rFonts w:ascii="宋体" w:hAnsi="宋体" w:eastAsia="宋体" w:cs="宋体"/>
        </w:rPr>
      </w:pPr>
    </w:p>
    <w:p w14:paraId="77CBB2CB">
      <w:pPr>
        <w:pStyle w:val="8"/>
        <w:keepNext/>
        <w:spacing w:beforeAutospacing="0" w:afterAutospacing="0"/>
        <w:jc w:val="center"/>
        <w:rPr>
          <w:rFonts w:ascii="宋体" w:hAnsi="宋体" w:eastAsia="宋体" w:cs="宋体"/>
        </w:rPr>
      </w:pPr>
    </w:p>
    <w:p w14:paraId="5C970F63">
      <w:pPr>
        <w:pStyle w:val="8"/>
        <w:keepNext/>
        <w:spacing w:beforeAutospacing="0" w:afterAutospacing="0"/>
        <w:jc w:val="center"/>
        <w:rPr>
          <w:rFonts w:ascii="宋体" w:hAnsi="宋体" w:eastAsia="宋体" w:cs="宋体"/>
        </w:rPr>
      </w:pPr>
    </w:p>
    <w:p w14:paraId="2A364160">
      <w:pPr>
        <w:pStyle w:val="8"/>
        <w:keepNext/>
        <w:spacing w:beforeAutospacing="0" w:afterAutospacing="0"/>
        <w:jc w:val="center"/>
        <w:rPr>
          <w:rFonts w:ascii="宋体" w:hAnsi="宋体" w:eastAsia="宋体" w:cs="宋体"/>
        </w:rPr>
      </w:pPr>
    </w:p>
    <w:p w14:paraId="7E76D5BD">
      <w:pPr>
        <w:pStyle w:val="8"/>
        <w:keepNext/>
        <w:spacing w:beforeAutospacing="0" w:afterAutospacing="0"/>
        <w:jc w:val="center"/>
        <w:rPr>
          <w:rFonts w:ascii="宋体" w:hAnsi="宋体" w:eastAsia="宋体" w:cs="宋体"/>
        </w:rPr>
      </w:pPr>
    </w:p>
    <w:p w14:paraId="2FF2BA02">
      <w:pPr>
        <w:pStyle w:val="8"/>
        <w:spacing w:beforeAutospacing="0" w:afterAutospacing="0"/>
        <w:jc w:val="both"/>
        <w:rPr>
          <w:rFonts w:ascii="宋体" w:hAnsi="宋体" w:eastAsia="宋体" w:cs="宋体"/>
        </w:rPr>
      </w:pPr>
      <w:r>
        <w:rPr>
          <w:rFonts w:hint="eastAsia" w:ascii="宋体" w:hAnsi="宋体" w:eastAsia="宋体" w:cs="宋体"/>
        </w:rPr>
        <w:t> </w:t>
      </w:r>
    </w:p>
    <w:p w14:paraId="0DD6AC6E">
      <w:pPr>
        <w:pStyle w:val="8"/>
        <w:spacing w:beforeAutospacing="0" w:afterAutospacing="0"/>
        <w:jc w:val="both"/>
      </w:pPr>
    </w:p>
    <w:p w14:paraId="7FA1B94B">
      <w:pPr>
        <w:pStyle w:val="8"/>
        <w:spacing w:beforeAutospacing="0" w:afterAutospacing="0"/>
        <w:jc w:val="both"/>
      </w:pPr>
    </w:p>
    <w:p w14:paraId="7A4E816E">
      <w:pPr>
        <w:pStyle w:val="8"/>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30C85DA9">
      <w:pPr>
        <w:pStyle w:val="8"/>
        <w:spacing w:beforeAutospacing="0" w:afterAutospacing="0"/>
        <w:jc w:val="both"/>
      </w:pPr>
      <w:r>
        <w:t> </w:t>
      </w:r>
    </w:p>
    <w:p w14:paraId="11BDEA40">
      <w:pPr>
        <w:snapToGrid w:val="0"/>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一、定标原则</w:t>
      </w:r>
    </w:p>
    <w:p w14:paraId="3DD04229">
      <w:pPr>
        <w:snapToGrid w:val="0"/>
        <w:spacing w:line="360" w:lineRule="auto"/>
        <w:ind w:firstLine="420" w:firstLineChars="200"/>
        <w:rPr>
          <w:rFonts w:ascii="宋体" w:hAnsi="宋体" w:eastAsia="宋体" w:cs="宋体"/>
          <w:color w:val="000000"/>
          <w:kern w:val="0"/>
          <w:szCs w:val="21"/>
        </w:rPr>
      </w:pPr>
      <w:r>
        <w:rPr>
          <w:rFonts w:hint="eastAsia" w:ascii="宋体" w:hAnsi="宋体" w:eastAsia="宋体" w:cs="宋体"/>
          <w:bCs/>
          <w:color w:val="000000"/>
          <w:szCs w:val="21"/>
        </w:rPr>
        <w:t>本项目采用</w:t>
      </w:r>
      <w:r>
        <w:rPr>
          <w:rFonts w:hint="eastAsia" w:ascii="宋体" w:hAnsi="宋体" w:eastAsia="宋体" w:cs="宋体"/>
          <w:bCs/>
          <w:color w:val="000000"/>
          <w:szCs w:val="21"/>
          <w:u w:val="single"/>
        </w:rPr>
        <w:t xml:space="preserve"> 综合评分 </w:t>
      </w:r>
      <w:r>
        <w:rPr>
          <w:rFonts w:hint="eastAsia" w:ascii="宋体" w:hAnsi="宋体" w:eastAsia="宋体" w:cs="宋体"/>
          <w:bCs/>
          <w:color w:val="000000"/>
          <w:szCs w:val="21"/>
        </w:rPr>
        <w:t>法，</w:t>
      </w:r>
      <w:r>
        <w:rPr>
          <w:rFonts w:hint="eastAsia" w:ascii="宋体" w:hAnsi="宋体" w:eastAsia="宋体" w:cs="宋体"/>
          <w:color w:val="000000"/>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986FF79">
      <w:pPr>
        <w:pStyle w:val="8"/>
        <w:spacing w:before="120" w:beforeAutospacing="0" w:after="120" w:afterAutospacing="0" w:line="360" w:lineRule="auto"/>
        <w:ind w:firstLine="441"/>
        <w:rPr>
          <w:rFonts w:ascii="宋体" w:hAnsi="宋体" w:eastAsia="宋体" w:cs="宋体"/>
          <w:sz w:val="21"/>
          <w:szCs w:val="21"/>
        </w:rPr>
      </w:pPr>
      <w:r>
        <w:rPr>
          <w:rFonts w:hint="eastAsia" w:ascii="宋体" w:hAnsi="宋体" w:eastAsia="宋体" w:cs="宋体"/>
          <w:b/>
          <w:color w:val="000000"/>
          <w:sz w:val="21"/>
          <w:szCs w:val="21"/>
        </w:rPr>
        <w:t>政府采购政策功能落实</w:t>
      </w:r>
    </w:p>
    <w:p w14:paraId="4B03CA54">
      <w:pPr>
        <w:pStyle w:val="8"/>
        <w:spacing w:before="120" w:beforeAutospacing="0" w:after="120" w:afterAutospacing="0" w:line="360" w:lineRule="auto"/>
        <w:ind w:firstLine="480"/>
        <w:rPr>
          <w:rFonts w:ascii="宋体" w:hAnsi="宋体" w:eastAsia="宋体" w:cs="宋体"/>
          <w:sz w:val="21"/>
          <w:szCs w:val="21"/>
        </w:rPr>
      </w:pPr>
      <w:r>
        <w:rPr>
          <w:rFonts w:hint="eastAsia" w:ascii="宋体" w:hAnsi="宋体" w:eastAsia="宋体" w:cs="宋体"/>
          <w:color w:val="000000"/>
          <w:sz w:val="21"/>
          <w:szCs w:val="21"/>
        </w:rPr>
        <w:t>1、小微型企业价格扣除</w:t>
      </w:r>
    </w:p>
    <w:p w14:paraId="6B75DEA4">
      <w:pPr>
        <w:pStyle w:val="21"/>
        <w:spacing w:line="360" w:lineRule="auto"/>
        <w:ind w:firstLine="315" w:firstLineChars="150"/>
        <w:rPr>
          <w:rFonts w:ascii="宋体" w:hAnsi="宋体" w:eastAsia="宋体" w:cs="宋体"/>
          <w:sz w:val="21"/>
          <w:szCs w:val="21"/>
        </w:rPr>
      </w:pPr>
      <w:r>
        <w:rPr>
          <w:rFonts w:hint="eastAsia" w:ascii="宋体" w:hAnsi="宋体" w:eastAsia="宋体" w:cs="宋体"/>
          <w:sz w:val="21"/>
          <w:szCs w:val="21"/>
        </w:rPr>
        <w:t>（1）本项目若不专门面向中小企业采购，对符合规定的小型和微型企业报价给予20%的扣除价格，用扣除后的价格参与评审；若专门面向中小企业采购，不再对小型和微型企业报价给予价格扣除。</w:t>
      </w:r>
    </w:p>
    <w:p w14:paraId="23EB2986">
      <w:pPr>
        <w:pStyle w:val="8"/>
        <w:spacing w:before="120" w:beforeAutospacing="0" w:after="120" w:afterAutospacing="0" w:line="360" w:lineRule="auto"/>
        <w:ind w:firstLine="360"/>
        <w:rPr>
          <w:rFonts w:ascii="宋体" w:hAnsi="宋体" w:eastAsia="宋体" w:cs="宋体"/>
          <w:sz w:val="21"/>
          <w:szCs w:val="21"/>
        </w:rPr>
      </w:pPr>
      <w:r>
        <w:rPr>
          <w:rFonts w:hint="eastAsia" w:ascii="宋体" w:hAnsi="宋体" w:eastAsia="宋体" w:cs="宋体"/>
          <w:color w:val="000000"/>
          <w:sz w:val="21"/>
          <w:szCs w:val="21"/>
        </w:rPr>
        <w:t>（2）供应商需按照采购文件的要求提供相应的《</w:t>
      </w:r>
      <w:r>
        <w:rPr>
          <w:rFonts w:hint="eastAsia" w:ascii="宋体" w:hAnsi="宋体" w:eastAsia="宋体" w:cs="宋体"/>
          <w:sz w:val="21"/>
          <w:szCs w:val="21"/>
        </w:rPr>
        <w:t>中小企业声明函</w:t>
      </w:r>
      <w:r>
        <w:rPr>
          <w:rFonts w:hint="eastAsia" w:ascii="宋体" w:hAnsi="宋体" w:eastAsia="宋体" w:cs="宋体"/>
          <w:color w:val="000000"/>
          <w:sz w:val="21"/>
          <w:szCs w:val="21"/>
        </w:rPr>
        <w:t>》。</w:t>
      </w:r>
    </w:p>
    <w:p w14:paraId="0FA4BB8C">
      <w:pPr>
        <w:pStyle w:val="8"/>
        <w:spacing w:before="120" w:beforeAutospacing="0" w:after="120" w:afterAutospacing="0" w:line="360" w:lineRule="auto"/>
        <w:ind w:firstLine="360"/>
        <w:rPr>
          <w:rFonts w:ascii="宋体" w:hAnsi="宋体" w:eastAsia="宋体" w:cs="宋体"/>
          <w:sz w:val="21"/>
          <w:szCs w:val="21"/>
        </w:rPr>
      </w:pPr>
      <w:r>
        <w:rPr>
          <w:rFonts w:hint="eastAsia" w:ascii="宋体" w:hAnsi="宋体" w:eastAsia="宋体" w:cs="宋体"/>
          <w:color w:val="000000"/>
          <w:sz w:val="21"/>
          <w:szCs w:val="21"/>
        </w:rPr>
        <w:t>（3）企业标准请参照《关于印发中小企业划型标准规定的通知》（工信部联企业〔2011〕300号）文件规定自行填写。</w:t>
      </w:r>
    </w:p>
    <w:p w14:paraId="3DBB905F">
      <w:pPr>
        <w:pStyle w:val="8"/>
        <w:spacing w:before="120" w:beforeAutospacing="0" w:after="120" w:afterAutospacing="0" w:line="360" w:lineRule="auto"/>
        <w:ind w:firstLine="480"/>
        <w:rPr>
          <w:rFonts w:ascii="宋体" w:hAnsi="宋体" w:eastAsia="宋体" w:cs="宋体"/>
          <w:sz w:val="21"/>
          <w:szCs w:val="21"/>
        </w:rPr>
      </w:pPr>
      <w:r>
        <w:rPr>
          <w:rFonts w:hint="eastAsia" w:ascii="宋体" w:hAnsi="宋体" w:eastAsia="宋体" w:cs="宋体"/>
          <w:color w:val="000000"/>
          <w:sz w:val="21"/>
          <w:szCs w:val="21"/>
        </w:rPr>
        <w:t>2、残疾人福利单位价格扣除</w:t>
      </w:r>
    </w:p>
    <w:p w14:paraId="5F9E7449">
      <w:pPr>
        <w:pStyle w:val="8"/>
        <w:spacing w:before="120" w:beforeAutospacing="0" w:after="120" w:afterAutospacing="0" w:line="360" w:lineRule="auto"/>
        <w:ind w:left="120" w:firstLine="360"/>
        <w:rPr>
          <w:rFonts w:ascii="宋体" w:hAnsi="宋体" w:eastAsia="宋体" w:cs="宋体"/>
          <w:color w:val="000000"/>
          <w:sz w:val="21"/>
          <w:szCs w:val="21"/>
          <w:u w:val="single"/>
        </w:rPr>
      </w:pPr>
      <w:r>
        <w:rPr>
          <w:rFonts w:hint="eastAsia" w:ascii="宋体" w:hAnsi="宋体" w:eastAsia="宋体" w:cs="宋体"/>
          <w:color w:val="000000"/>
          <w:sz w:val="21"/>
          <w:szCs w:val="21"/>
        </w:rPr>
        <w:t>（1）本项目对残疾人福利性单位视同小型、微型企业，给予</w:t>
      </w:r>
      <w:r>
        <w:rPr>
          <w:rFonts w:hint="eastAsia" w:ascii="宋体" w:hAnsi="宋体" w:eastAsia="宋体" w:cs="宋体"/>
          <w:color w:val="000000"/>
          <w:sz w:val="21"/>
          <w:szCs w:val="21"/>
          <w:u w:val="single"/>
        </w:rPr>
        <w:t>20%的价格扣除。</w:t>
      </w:r>
    </w:p>
    <w:p w14:paraId="5CE00450">
      <w:pPr>
        <w:pStyle w:val="8"/>
        <w:spacing w:before="120" w:beforeAutospacing="0" w:after="120" w:afterAutospacing="0" w:line="360" w:lineRule="auto"/>
        <w:ind w:left="120" w:firstLine="360"/>
        <w:rPr>
          <w:rFonts w:ascii="宋体" w:hAnsi="宋体" w:eastAsia="宋体" w:cs="宋体"/>
          <w:sz w:val="21"/>
          <w:szCs w:val="21"/>
        </w:rPr>
      </w:pPr>
      <w:r>
        <w:rPr>
          <w:rFonts w:hint="eastAsia" w:ascii="宋体" w:hAnsi="宋体" w:eastAsia="宋体" w:cs="宋体"/>
          <w:color w:val="000000"/>
          <w:sz w:val="21"/>
          <w:szCs w:val="21"/>
        </w:rPr>
        <w:t>（2）残疾人福利单位需按照采购文件的要求提供《残疾人福利性单位声明函》。</w:t>
      </w:r>
    </w:p>
    <w:p w14:paraId="19124B34">
      <w:pPr>
        <w:pStyle w:val="8"/>
        <w:spacing w:before="120" w:beforeAutospacing="0" w:after="120" w:afterAutospacing="0" w:line="360" w:lineRule="auto"/>
        <w:ind w:left="120" w:firstLine="360"/>
        <w:rPr>
          <w:rFonts w:ascii="宋体" w:hAnsi="宋体" w:eastAsia="宋体" w:cs="宋体"/>
          <w:sz w:val="21"/>
          <w:szCs w:val="21"/>
        </w:rPr>
      </w:pPr>
      <w:r>
        <w:rPr>
          <w:rFonts w:hint="eastAsia" w:ascii="宋体" w:hAnsi="宋体" w:eastAsia="宋体" w:cs="宋体"/>
          <w:color w:val="000000"/>
          <w:sz w:val="21"/>
          <w:szCs w:val="21"/>
        </w:rPr>
        <w:t>（3）残疾人福利单位标准请参照《关于促进残疾人就业政府采购政策的通知》（财库〔2017〕141号）。</w:t>
      </w:r>
    </w:p>
    <w:p w14:paraId="6DDBD112">
      <w:pPr>
        <w:pStyle w:val="8"/>
        <w:spacing w:before="120" w:beforeAutospacing="0" w:after="120" w:afterAutospacing="0" w:line="360" w:lineRule="auto"/>
        <w:ind w:firstLine="480"/>
        <w:rPr>
          <w:rFonts w:ascii="宋体" w:hAnsi="宋体" w:eastAsia="宋体" w:cs="宋体"/>
          <w:sz w:val="21"/>
          <w:szCs w:val="21"/>
        </w:rPr>
      </w:pPr>
      <w:r>
        <w:rPr>
          <w:rFonts w:hint="eastAsia" w:ascii="宋体" w:hAnsi="宋体" w:eastAsia="宋体" w:cs="宋体"/>
          <w:color w:val="000000"/>
          <w:sz w:val="21"/>
          <w:szCs w:val="21"/>
        </w:rPr>
        <w:t>3、监狱和戒毒企业价格扣除</w:t>
      </w:r>
    </w:p>
    <w:p w14:paraId="24F08ECF">
      <w:pPr>
        <w:pStyle w:val="8"/>
        <w:spacing w:before="120" w:beforeAutospacing="0" w:after="120" w:afterAutospacing="0" w:line="360" w:lineRule="auto"/>
        <w:ind w:left="120" w:firstLine="360"/>
        <w:rPr>
          <w:rFonts w:ascii="宋体" w:hAnsi="宋体" w:eastAsia="宋体" w:cs="宋体"/>
          <w:color w:val="000000"/>
          <w:sz w:val="21"/>
          <w:szCs w:val="21"/>
          <w:u w:val="single"/>
        </w:rPr>
      </w:pPr>
      <w:r>
        <w:rPr>
          <w:rFonts w:hint="eastAsia" w:ascii="宋体" w:hAnsi="宋体" w:eastAsia="宋体" w:cs="宋体"/>
          <w:color w:val="000000"/>
          <w:sz w:val="21"/>
          <w:szCs w:val="21"/>
        </w:rPr>
        <w:t>（1）本项目对监狱和戒毒企业（简称监狱企业）视同小型、微型企业，给予</w:t>
      </w:r>
      <w:r>
        <w:rPr>
          <w:rFonts w:hint="eastAsia" w:ascii="宋体" w:hAnsi="宋体" w:eastAsia="宋体" w:cs="宋体"/>
          <w:color w:val="000000"/>
          <w:sz w:val="21"/>
          <w:szCs w:val="21"/>
          <w:u w:val="single"/>
        </w:rPr>
        <w:t>20%的价格扣除。</w:t>
      </w:r>
    </w:p>
    <w:p w14:paraId="3BA36B00">
      <w:pPr>
        <w:pStyle w:val="8"/>
        <w:spacing w:before="120" w:beforeAutospacing="0" w:after="120" w:afterAutospacing="0" w:line="360" w:lineRule="auto"/>
        <w:ind w:firstLine="480"/>
        <w:rPr>
          <w:rFonts w:ascii="宋体" w:hAnsi="宋体" w:eastAsia="宋体" w:cs="宋体"/>
          <w:sz w:val="21"/>
          <w:szCs w:val="21"/>
        </w:rPr>
      </w:pPr>
      <w:r>
        <w:rPr>
          <w:rFonts w:hint="eastAsia" w:ascii="宋体" w:hAnsi="宋体" w:eastAsia="宋体" w:cs="宋体"/>
          <w:color w:val="000000"/>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074CA3A3">
      <w:pPr>
        <w:pStyle w:val="8"/>
        <w:spacing w:before="120" w:beforeAutospacing="0" w:after="120" w:afterAutospacing="0" w:line="360" w:lineRule="auto"/>
        <w:ind w:firstLine="480"/>
        <w:rPr>
          <w:rFonts w:ascii="宋体" w:hAnsi="宋体" w:eastAsia="宋体" w:cs="宋体"/>
          <w:sz w:val="21"/>
          <w:szCs w:val="21"/>
        </w:rPr>
      </w:pPr>
      <w:r>
        <w:rPr>
          <w:rFonts w:hint="eastAsia" w:ascii="宋体" w:hAnsi="宋体" w:eastAsia="宋体" w:cs="宋体"/>
          <w:color w:val="000000"/>
          <w:sz w:val="21"/>
          <w:szCs w:val="21"/>
        </w:rPr>
        <w:t>（3）监狱企业标准请参照《关于政府采购支持监狱企业发展有关问题的通知》（财库〔2014〕68号）。</w:t>
      </w:r>
    </w:p>
    <w:p w14:paraId="222E6661">
      <w:pPr>
        <w:pStyle w:val="8"/>
        <w:spacing w:before="120" w:beforeAutospacing="0" w:after="120" w:afterAutospacing="0" w:line="360" w:lineRule="auto"/>
        <w:ind w:firstLine="480"/>
        <w:rPr>
          <w:rFonts w:ascii="宋体" w:hAnsi="宋体" w:eastAsia="宋体" w:cs="宋体"/>
          <w:sz w:val="21"/>
          <w:szCs w:val="21"/>
        </w:rPr>
      </w:pPr>
      <w:r>
        <w:rPr>
          <w:rFonts w:hint="eastAsia" w:ascii="宋体" w:hAnsi="宋体" w:eastAsia="宋体" w:cs="宋体"/>
          <w:color w:val="000000"/>
          <w:sz w:val="21"/>
          <w:szCs w:val="21"/>
        </w:rPr>
        <w:t>4、残疾人福利单位、监狱企业属于小型、微型企业的，不重复享受政策。</w:t>
      </w:r>
    </w:p>
    <w:p w14:paraId="691A599F">
      <w:pPr>
        <w:pStyle w:val="8"/>
        <w:spacing w:before="120" w:beforeAutospacing="0" w:after="120" w:afterAutospacing="0" w:line="360" w:lineRule="auto"/>
        <w:ind w:firstLine="480"/>
        <w:rPr>
          <w:rFonts w:ascii="宋体" w:hAnsi="宋体" w:eastAsia="宋体" w:cs="宋体"/>
          <w:color w:val="000000"/>
          <w:sz w:val="21"/>
          <w:szCs w:val="21"/>
        </w:rPr>
      </w:pPr>
      <w:r>
        <w:rPr>
          <w:rFonts w:hint="eastAsia" w:ascii="宋体" w:hAnsi="宋体" w:eastAsia="宋体" w:cs="宋体"/>
          <w:color w:val="000000"/>
          <w:sz w:val="21"/>
          <w:szCs w:val="21"/>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u w:val="single"/>
        </w:rPr>
        <w:t>6%</w:t>
      </w:r>
      <w:r>
        <w:rPr>
          <w:rFonts w:hint="eastAsia" w:ascii="宋体" w:hAnsi="宋体" w:eastAsia="宋体" w:cs="宋体"/>
          <w:color w:val="000000"/>
          <w:sz w:val="21"/>
          <w:szCs w:val="21"/>
        </w:rPr>
        <w:t>的价格扣除，用扣除后的价格参与评审。</w:t>
      </w:r>
    </w:p>
    <w:p w14:paraId="32ED266B">
      <w:pPr>
        <w:pStyle w:val="8"/>
        <w:spacing w:before="120" w:beforeAutospacing="0" w:after="120" w:afterAutospacing="0" w:line="360" w:lineRule="auto"/>
        <w:ind w:left="120" w:firstLine="360"/>
        <w:rPr>
          <w:rFonts w:ascii="宋体" w:hAnsi="宋体" w:eastAsia="宋体" w:cs="宋体"/>
          <w:color w:val="000000"/>
          <w:sz w:val="21"/>
          <w:szCs w:val="21"/>
          <w:u w:val="single"/>
        </w:rPr>
      </w:pPr>
      <w:r>
        <w:rPr>
          <w:rFonts w:hint="eastAsia" w:ascii="宋体" w:hAnsi="宋体" w:eastAsia="宋体" w:cs="宋体"/>
          <w:color w:val="000000"/>
          <w:sz w:val="21"/>
          <w:szCs w:val="21"/>
        </w:rPr>
        <w:t>6、联合体各方均为小型、微型企业（残疾人福利单位、监狱企业）的，联合体享受</w:t>
      </w:r>
      <w:r>
        <w:rPr>
          <w:rFonts w:hint="eastAsia" w:ascii="宋体" w:hAnsi="宋体" w:eastAsia="宋体" w:cs="宋体"/>
          <w:color w:val="000000"/>
          <w:sz w:val="21"/>
          <w:szCs w:val="21"/>
          <w:u w:val="single"/>
        </w:rPr>
        <w:t>20%的价格扣除。</w:t>
      </w:r>
    </w:p>
    <w:p w14:paraId="4EE7A1CC">
      <w:pPr>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Cs w:val="21"/>
        </w:rPr>
        <w:t>如属政府强制采购产品未提供认证证书的或认证证书提供不全的将视为未实质性响应采购要求</w:t>
      </w:r>
      <w:r>
        <w:rPr>
          <w:rFonts w:hint="eastAsia" w:ascii="宋体" w:hAnsi="宋体" w:eastAsia="宋体" w:cs="宋体"/>
          <w:i/>
          <w:kern w:val="0"/>
          <w:szCs w:val="21"/>
        </w:rPr>
        <w:t>。</w:t>
      </w:r>
      <w:r>
        <w:rPr>
          <w:rFonts w:hint="eastAsia" w:ascii="宋体" w:hAnsi="宋体" w:eastAsia="宋体" w:cs="宋体"/>
          <w:kern w:val="0"/>
          <w:szCs w:val="21"/>
        </w:rPr>
        <w:t>其他条件相同情况下，应当优先采购节能产品、环境标志产品。</w:t>
      </w:r>
    </w:p>
    <w:p w14:paraId="27370187">
      <w:pPr>
        <w:pStyle w:val="8"/>
        <w:spacing w:before="120" w:beforeAutospacing="0" w:after="120" w:afterAutospacing="0" w:line="0" w:lineRule="atLeast"/>
        <w:ind w:firstLine="482"/>
        <w:rPr>
          <w:rFonts w:ascii="宋体" w:hAnsi="宋体" w:eastAsia="宋体" w:cs="宋体"/>
          <w:b/>
          <w:color w:val="000000"/>
          <w:sz w:val="21"/>
          <w:szCs w:val="21"/>
        </w:rPr>
      </w:pPr>
    </w:p>
    <w:p w14:paraId="04425989">
      <w:pPr>
        <w:pStyle w:val="8"/>
        <w:spacing w:before="120" w:beforeAutospacing="0" w:after="120" w:afterAutospacing="0" w:line="0" w:lineRule="atLeast"/>
        <w:ind w:firstLine="482"/>
        <w:rPr>
          <w:rFonts w:ascii="宋体" w:hAnsi="宋体" w:eastAsia="宋体" w:cs="宋体"/>
          <w:b/>
          <w:color w:val="000000"/>
          <w:sz w:val="21"/>
          <w:szCs w:val="21"/>
        </w:rPr>
      </w:pPr>
    </w:p>
    <w:p w14:paraId="007186CF">
      <w:pPr>
        <w:pStyle w:val="8"/>
        <w:spacing w:before="120" w:beforeAutospacing="0" w:after="120" w:afterAutospacing="0" w:line="0" w:lineRule="atLeast"/>
        <w:ind w:firstLine="482"/>
        <w:rPr>
          <w:rFonts w:ascii="宋体" w:hAnsi="宋体" w:eastAsia="宋体" w:cs="宋体"/>
          <w:sz w:val="21"/>
          <w:szCs w:val="21"/>
        </w:rPr>
      </w:pPr>
      <w:r>
        <w:rPr>
          <w:rFonts w:hint="eastAsia" w:ascii="宋体" w:hAnsi="宋体" w:eastAsia="宋体" w:cs="宋体"/>
          <w:b/>
          <w:color w:val="000000"/>
          <w:sz w:val="21"/>
          <w:szCs w:val="21"/>
        </w:rPr>
        <w:t>评标方法与评标标准</w:t>
      </w:r>
    </w:p>
    <w:p w14:paraId="1E4D62DB">
      <w:pPr>
        <w:pStyle w:val="8"/>
        <w:spacing w:beforeAutospacing="0" w:afterAutospacing="0"/>
        <w:jc w:val="both"/>
        <w:rPr>
          <w:rFonts w:ascii="宋体" w:hAnsi="宋体" w:eastAsia="宋体" w:cs="宋体"/>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431"/>
        <w:gridCol w:w="6914"/>
        <w:gridCol w:w="816"/>
      </w:tblGrid>
      <w:tr w14:paraId="46E5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dxa"/>
          </w:tcPr>
          <w:p w14:paraId="19D6331E">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序号</w:t>
            </w:r>
          </w:p>
        </w:tc>
        <w:tc>
          <w:tcPr>
            <w:tcW w:w="1431" w:type="dxa"/>
          </w:tcPr>
          <w:p w14:paraId="4973D6C9">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评分因素</w:t>
            </w:r>
          </w:p>
        </w:tc>
        <w:tc>
          <w:tcPr>
            <w:tcW w:w="6914" w:type="dxa"/>
          </w:tcPr>
          <w:p w14:paraId="7C03A6C8">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评审标准</w:t>
            </w:r>
          </w:p>
        </w:tc>
        <w:tc>
          <w:tcPr>
            <w:tcW w:w="816" w:type="dxa"/>
          </w:tcPr>
          <w:p w14:paraId="3322535F">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分值</w:t>
            </w:r>
          </w:p>
        </w:tc>
      </w:tr>
      <w:tr w14:paraId="3704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dxa"/>
            <w:vAlign w:val="center"/>
          </w:tcPr>
          <w:p w14:paraId="64276F17">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1</w:t>
            </w:r>
          </w:p>
        </w:tc>
        <w:tc>
          <w:tcPr>
            <w:tcW w:w="1431" w:type="dxa"/>
            <w:vAlign w:val="center"/>
          </w:tcPr>
          <w:p w14:paraId="57DDA38A">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价格</w:t>
            </w:r>
          </w:p>
        </w:tc>
        <w:tc>
          <w:tcPr>
            <w:tcW w:w="6914" w:type="dxa"/>
          </w:tcPr>
          <w:p w14:paraId="6CD7CB55">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采用低价优先法计算，即满足招标文件要求且投标价格最低的投标报价为评标基准价，其价格分为满分。其他投标人的价格分按照下列公式计算：投标报价得分=（评标基准价／投标报价）×10（保留两位小数）。</w:t>
            </w:r>
          </w:p>
          <w:p w14:paraId="2DA072CB">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注：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相应责任，具体事项详见盐财购{2018}3号文。</w:t>
            </w:r>
          </w:p>
        </w:tc>
        <w:tc>
          <w:tcPr>
            <w:tcW w:w="816" w:type="dxa"/>
            <w:vAlign w:val="center"/>
          </w:tcPr>
          <w:p w14:paraId="7F609369">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10</w:t>
            </w:r>
          </w:p>
        </w:tc>
      </w:tr>
      <w:tr w14:paraId="6444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dxa"/>
            <w:vAlign w:val="center"/>
          </w:tcPr>
          <w:p w14:paraId="31DEA0E9">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w:t>
            </w:r>
          </w:p>
        </w:tc>
        <w:tc>
          <w:tcPr>
            <w:tcW w:w="1431" w:type="dxa"/>
            <w:vAlign w:val="center"/>
          </w:tcPr>
          <w:p w14:paraId="44CFCD08">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综合实力</w:t>
            </w:r>
          </w:p>
        </w:tc>
        <w:tc>
          <w:tcPr>
            <w:tcW w:w="6914" w:type="dxa"/>
            <w:vAlign w:val="center"/>
          </w:tcPr>
          <w:p w14:paraId="72F98332">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1）投标人具有工程咨询单位甲级资信证书（业务范围同时包含生态建设和环境工程、水利水电、市政公用工程）的，得3分；具有工程咨询单位乙级资信证书（业务范围同时包含生态建设和环境工程、水利水电、市政公用工程）的，得1分。本项最高得3分。</w:t>
            </w:r>
          </w:p>
          <w:p w14:paraId="692B0674">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（投标文件中提供相关证书原件扫描件并加盖投标公章，不提供不得分）</w:t>
            </w:r>
          </w:p>
          <w:p w14:paraId="32A3828F">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（2）投标人具有水质监测仪、RTK设备、土壤及地下水一体式采样专业设备的，以上每单独有1个得1分。本项最高得3分。</w:t>
            </w:r>
          </w:p>
          <w:p w14:paraId="45D46970">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（投标文件中提供购买设备发票或租赁合同原件扫描件并加盖投标单位公章的计分，不提供不得分）</w:t>
            </w:r>
          </w:p>
          <w:p w14:paraId="00DDBE17">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（3）投标人具有住建部门颁发的工程设计环境工程设计专项资质（业务范围同时包含污染修复工程、水污染防治工程）证书的，至少有一项为甲级的，得3分；全部均为乙级的，得1分。本项最高得3分。</w:t>
            </w:r>
          </w:p>
          <w:p w14:paraId="55D22802">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（投标文件中提供相关证书原件扫描件并加盖投标公章，不提供不得分）</w:t>
            </w:r>
          </w:p>
          <w:p w14:paraId="7A55C2A5">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（4）投标人具有市场监督管理部门颁发的CMA检验检测机构资质认定证书的，得2分。本项最高得2分。</w:t>
            </w:r>
          </w:p>
          <w:p w14:paraId="47192B27">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（投标文件中提供相关证书原件扫描件并加盖投标公章，不提供不得分）</w:t>
            </w:r>
          </w:p>
          <w:p w14:paraId="2B9950B5">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（5）投标人具有水文、水资源调查评价单位水平评价证书（业务范围同时包含水质评价、地下水水资源调查评价、水文调查）的，至少有一项为甲级的，得3分；全部均为乙级的，得1分。本项最高得3分。</w:t>
            </w:r>
          </w:p>
          <w:p w14:paraId="33BA0BEB">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（投标文件中提供相关证书原件扫描件并加盖投标公章，不提供不得分）</w:t>
            </w:r>
          </w:p>
          <w:p w14:paraId="0367F9E3">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（6）投标人具有自然资源部门颁发的测绘资质（业务范围同时包含工程测量、地理信息系统工程）证书的，得3分。本项最高得3分。</w:t>
            </w:r>
          </w:p>
          <w:p w14:paraId="46EA1FD4">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（投标文件中提供相关证书扫原件描件并加盖投标公章，不提供不得分）</w:t>
            </w:r>
          </w:p>
          <w:p w14:paraId="1ED3E1DB">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7）投标人在区域流域环境综合治理方面，具备省级或以上工程技术研究中心并验收合格的，得3分；具备设区市级工程技术研究中心并验收合格的，得1.5分；具备县级工程技术研究中心并通过验收的，得0.5分；没有不得分。本项最高得3分。（以省市县级科技部门发文认可为准）</w:t>
            </w:r>
          </w:p>
          <w:p w14:paraId="418C603B">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（投标文件中提供工程技术研究中心的建设及验收结果证明文件原件扫描件并加盖投标单位公章，不提供不得分）</w:t>
            </w:r>
          </w:p>
        </w:tc>
        <w:tc>
          <w:tcPr>
            <w:tcW w:w="816" w:type="dxa"/>
            <w:vAlign w:val="center"/>
          </w:tcPr>
          <w:p w14:paraId="415490D3">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20</w:t>
            </w:r>
          </w:p>
        </w:tc>
      </w:tr>
      <w:tr w14:paraId="0ED72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dxa"/>
            <w:vAlign w:val="center"/>
          </w:tcPr>
          <w:p w14:paraId="3C0ECF7E">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3</w:t>
            </w:r>
          </w:p>
        </w:tc>
        <w:tc>
          <w:tcPr>
            <w:tcW w:w="1431" w:type="dxa"/>
            <w:vAlign w:val="center"/>
          </w:tcPr>
          <w:p w14:paraId="1F3AE0C1">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团队配置</w:t>
            </w:r>
          </w:p>
        </w:tc>
        <w:tc>
          <w:tcPr>
            <w:tcW w:w="6914" w:type="dxa"/>
            <w:vAlign w:val="center"/>
          </w:tcPr>
          <w:p w14:paraId="30CD06A2">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1）拟派项目负责人同时具有注册环评工程师和环保工程师职业资格的得2分；具有环境保护类或水工环专业正高级（含）以上职称的得2分；具有环境保护类或资源与环境类相关专业博士学位的，得1分；本项最高得5分。</w:t>
            </w:r>
          </w:p>
          <w:p w14:paraId="4484495F">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（投标文件中提供相关证书原件扫描件并加盖投标公章，不提供不得分）</w:t>
            </w:r>
          </w:p>
          <w:p w14:paraId="21FF9728">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拟派项目审核人（和项目负责人不得为同一人）具有环境保护类或水工环专业正高级（含）以上职称的得2分；担任省级或以上市场监督管理部门颁发的省级或以上土壤调查或修复标准化技术委员会委员的得2分；本项最高得4分。</w:t>
            </w:r>
          </w:p>
          <w:p w14:paraId="6556A49C">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（投标文件中提供相关证书原件扫描件并加盖投标公章，不提供不得分）</w:t>
            </w:r>
          </w:p>
          <w:p w14:paraId="47F5CEA9">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3）拟派项目组成员中（不含项目负责人和项目审核人），具有环境保护类或水工环专业高级（含）以上职称的，有一个得1分，最高得7分；具有环境保护类或水工环专业中级职称的，有一个得0.5分，最高得1分；有获得过省级或以上土壤或地下水类科学技术奖的，得3分；同1人员不重复得分；本项最高得11分。</w:t>
            </w:r>
          </w:p>
          <w:p w14:paraId="3C060901">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（投标文件中提供相关证书或证明材料原件扫描件并加盖投标单位公章，不提供不得分）</w:t>
            </w:r>
          </w:p>
          <w:p w14:paraId="4E943C83">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4）项目团队成员（含项目负责人）中，具有环境工程、环境科学、水文学及水资源、3S集成与气象应用、生态学、给排水科学与工程、资源环境与城乡规划管理、生物安全等专业的（以学位证书或毕业证书为准），得4分；项目团队成员中每少1个专业的、扣0.5分，依次递减；本项最高得4分。</w:t>
            </w:r>
          </w:p>
          <w:p w14:paraId="27E23C91">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（投标文件中提供相关证书原件扫描件并加盖投标单位公章，不提供不得分）</w:t>
            </w:r>
          </w:p>
          <w:p w14:paraId="2D3A4B63">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注：应提供拟派项目负责人、项目审核人、项目组成员自本项目投标截止之日起前3个月个人在本单位缴纳的社保证明。投标人也可提供印有社会保险管理中心参保缴费证明电子专用章的养老保险缴费清单和参保缴费证明查询途径。事业单位不需提供，但需提供人社部门出具的该单位及拟派人员事业性质证明。未提供或提供不全不得分。</w:t>
            </w:r>
          </w:p>
        </w:tc>
        <w:tc>
          <w:tcPr>
            <w:tcW w:w="816" w:type="dxa"/>
            <w:vAlign w:val="center"/>
          </w:tcPr>
          <w:p w14:paraId="306ADE19">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24</w:t>
            </w:r>
          </w:p>
        </w:tc>
      </w:tr>
      <w:tr w14:paraId="51AE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dxa"/>
            <w:vAlign w:val="center"/>
          </w:tcPr>
          <w:p w14:paraId="6E73E4FF">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4</w:t>
            </w:r>
          </w:p>
        </w:tc>
        <w:tc>
          <w:tcPr>
            <w:tcW w:w="1431" w:type="dxa"/>
            <w:vAlign w:val="center"/>
          </w:tcPr>
          <w:p w14:paraId="6F24F867">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成功案例</w:t>
            </w:r>
          </w:p>
        </w:tc>
        <w:tc>
          <w:tcPr>
            <w:tcW w:w="6914" w:type="dxa"/>
            <w:vAlign w:val="center"/>
          </w:tcPr>
          <w:p w14:paraId="785A8BAA">
            <w:pPr>
              <w:jc w:val="left"/>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（1）投标人具有化工园区地下水环境状况详细调查项目业绩的，每提供1个得0.5分，本项最高得1.5分。</w:t>
            </w:r>
          </w:p>
          <w:p w14:paraId="44ACE986">
            <w:pPr>
              <w:jc w:val="left"/>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（2）具有县级或以上行政区域地下水污染防治分区划定项目项目业绩的，每提供1个得0.5分，本项最高得1.5分。</w:t>
            </w:r>
          </w:p>
          <w:p w14:paraId="3887A1C2">
            <w:pPr>
              <w:jc w:val="left"/>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（投标文件中提供相关业绩合同及中标通知书原件扫描件并加盖投标单位公章，不提供不得分）</w:t>
            </w:r>
          </w:p>
        </w:tc>
        <w:tc>
          <w:tcPr>
            <w:tcW w:w="816" w:type="dxa"/>
            <w:vAlign w:val="center"/>
          </w:tcPr>
          <w:p w14:paraId="46554E6B">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3</w:t>
            </w:r>
          </w:p>
        </w:tc>
      </w:tr>
      <w:tr w14:paraId="5234E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dxa"/>
            <w:vAlign w:val="center"/>
          </w:tcPr>
          <w:p w14:paraId="21558BBA">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5</w:t>
            </w:r>
          </w:p>
        </w:tc>
        <w:tc>
          <w:tcPr>
            <w:tcW w:w="1431" w:type="dxa"/>
            <w:vAlign w:val="center"/>
          </w:tcPr>
          <w:p w14:paraId="69DE1963">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技术部分</w:t>
            </w:r>
          </w:p>
        </w:tc>
        <w:tc>
          <w:tcPr>
            <w:tcW w:w="6914" w:type="dxa"/>
            <w:vAlign w:val="center"/>
          </w:tcPr>
          <w:p w14:paraId="0880DB5C">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（1）对本项目的理解与分析（12分）：</w:t>
            </w:r>
          </w:p>
          <w:p w14:paraId="526C1D94">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①对本项目的实施背景的理解与分析，包括开展本项目有关工作的依据、来源及具体的技术和管理要求等。对项目理解与分析全面的该条得6分；对项目理解与分析较详细、基本准确的该条得4分；对项目理解与分析简单，了解项目基本概况和明确要求，缺少针对性的得2分；没有此项内容的不得分。</w:t>
            </w:r>
          </w:p>
          <w:p w14:paraId="18B7A9B5">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②本项目的现状情况的理解程度，包括对园区地下水污染状况的了解，对园区现状企业情况的理解与分析等。对项目理解与分析全面的该条得6分；对项目理解与分析较详细、基本准确的该条得4分；对项目理解简单，了解项目基本概况和明确要求，缺少针对性的得2分；没有此项内容的不得分。</w:t>
            </w:r>
          </w:p>
          <w:p w14:paraId="58F650A8">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（2）项目重点、难点分析及解决措施（12分）：</w:t>
            </w:r>
          </w:p>
          <w:p w14:paraId="7C8116F1">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①对本项目重点、难点的分析，包括对园区开展地下水整治溯源工作，在水文地质条件、污染物识别、污染成因、监测采样等方面的重难点分析。分析全面，对策措施可行性强的得6分；分析较全面，对策措施可行性一般的得4分；分析基本准确、对策措施可行性弱的得2分；没有此项内容的不得分。</w:t>
            </w:r>
          </w:p>
          <w:p w14:paraId="7F5A1A8D">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②对本项目重难点解决措施，包括对园区开展地下水整治溯源，在水文地质条件、污染物识别、污染成因、监测采样等方面的可行性解决措施。分析全面，对策措施可行性强的得6分；分析较全面，对策措施可行性一般的得4分；分析基本准确、对策措施可行性弱的得2分；没有此项内容的不得分。</w:t>
            </w:r>
          </w:p>
          <w:p w14:paraId="3EB98EEE">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3）进度计划与进度保证措施（9分）：①工作整体进度计划；②进度保证措施。投标人须针对每条内容进行阐述。计划最完整、措施合理的得9分；计划相对完整、措施较合理的得7分；计划措施较合理、但稍有缺陷的得5分；计划措施不够完整的得3分；没有此项内容的不得分。</w:t>
            </w:r>
          </w:p>
          <w:p w14:paraId="6FAD161A">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4）质量控制措施与管理方案（9分）：①质量控制措施；②管理方案。投标人须针对每条内容进行阐述。措施最完整、科学、合理的得9分；措施较完整、合理、但稍有缺陷的得7分；措施基本完整、合理、但有较大缺陷的得5分；措施不完整、不合理，有严重缺陷的得3分；没有此项内容的不得分。</w:t>
            </w:r>
          </w:p>
        </w:tc>
        <w:tc>
          <w:tcPr>
            <w:tcW w:w="816" w:type="dxa"/>
            <w:vAlign w:val="center"/>
          </w:tcPr>
          <w:p w14:paraId="5E35D4E3">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42</w:t>
            </w:r>
          </w:p>
        </w:tc>
      </w:tr>
      <w:tr w14:paraId="0F1F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dxa"/>
            <w:vAlign w:val="center"/>
          </w:tcPr>
          <w:p w14:paraId="51E61B7D">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6</w:t>
            </w:r>
          </w:p>
        </w:tc>
        <w:tc>
          <w:tcPr>
            <w:tcW w:w="1431" w:type="dxa"/>
            <w:vAlign w:val="center"/>
          </w:tcPr>
          <w:p w14:paraId="03B979AF">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诚信投标</w:t>
            </w:r>
          </w:p>
        </w:tc>
        <w:tc>
          <w:tcPr>
            <w:tcW w:w="6914" w:type="dxa"/>
            <w:vAlign w:val="center"/>
          </w:tcPr>
          <w:p w14:paraId="7D7DD7EE">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投标人提供盐城市政府采购事前信用承诺书，得1分；未提供的不得分。</w:t>
            </w:r>
          </w:p>
        </w:tc>
        <w:tc>
          <w:tcPr>
            <w:tcW w:w="816" w:type="dxa"/>
            <w:vAlign w:val="center"/>
          </w:tcPr>
          <w:p w14:paraId="5FD1CFDA">
            <w:pPr>
              <w:jc w:val="cente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1</w:t>
            </w:r>
          </w:p>
        </w:tc>
      </w:tr>
    </w:tbl>
    <w:p w14:paraId="51B8625A">
      <w:pPr>
        <w:pStyle w:val="8"/>
        <w:spacing w:beforeAutospacing="0" w:afterAutospacing="0"/>
        <w:jc w:val="both"/>
        <w:rPr>
          <w:rFonts w:ascii="宋体" w:hAnsi="宋体" w:eastAsia="宋体" w:cs="宋体"/>
        </w:rPr>
      </w:pPr>
    </w:p>
    <w:p w14:paraId="29A1ED64">
      <w:pPr>
        <w:pStyle w:val="8"/>
        <w:spacing w:beforeAutospacing="0" w:afterAutospacing="0"/>
        <w:jc w:val="both"/>
        <w:rPr>
          <w:rFonts w:ascii="宋体" w:hAnsi="宋体" w:eastAsia="宋体" w:cs="宋体"/>
        </w:rPr>
      </w:pPr>
    </w:p>
    <w:p w14:paraId="441CCEE0">
      <w:pPr>
        <w:pStyle w:val="8"/>
        <w:spacing w:beforeAutospacing="0" w:afterAutospacing="0"/>
        <w:jc w:val="both"/>
        <w:rPr>
          <w:rFonts w:ascii="宋体" w:hAnsi="宋体" w:eastAsia="宋体" w:cs="宋体"/>
        </w:rPr>
      </w:pPr>
    </w:p>
    <w:p w14:paraId="20392E09">
      <w:pPr>
        <w:pStyle w:val="8"/>
        <w:spacing w:beforeAutospacing="0" w:afterAutospacing="0"/>
        <w:jc w:val="both"/>
        <w:rPr>
          <w:rFonts w:ascii="宋体" w:hAnsi="宋体" w:eastAsia="宋体" w:cs="宋体"/>
        </w:rPr>
      </w:pPr>
    </w:p>
    <w:p w14:paraId="4CA7CDC2">
      <w:pPr>
        <w:pStyle w:val="8"/>
        <w:spacing w:beforeAutospacing="0" w:afterAutospacing="0"/>
        <w:jc w:val="both"/>
        <w:rPr>
          <w:rFonts w:ascii="宋体" w:hAnsi="宋体" w:eastAsia="宋体" w:cs="宋体"/>
        </w:rPr>
      </w:pPr>
    </w:p>
    <w:p w14:paraId="5C8D780C">
      <w:pPr>
        <w:pStyle w:val="8"/>
        <w:spacing w:beforeAutospacing="0" w:afterAutospacing="0"/>
        <w:jc w:val="both"/>
        <w:rPr>
          <w:rFonts w:ascii="宋体" w:hAnsi="宋体" w:eastAsia="宋体" w:cs="宋体"/>
        </w:rPr>
      </w:pPr>
    </w:p>
    <w:p w14:paraId="3A4345C4">
      <w:pPr>
        <w:pStyle w:val="8"/>
        <w:spacing w:beforeAutospacing="0" w:afterAutospacing="0"/>
        <w:jc w:val="both"/>
        <w:rPr>
          <w:rFonts w:ascii="宋体" w:hAnsi="宋体" w:eastAsia="宋体" w:cs="宋体"/>
        </w:rPr>
      </w:pPr>
    </w:p>
    <w:p w14:paraId="41D84F23">
      <w:pPr>
        <w:pStyle w:val="8"/>
        <w:spacing w:beforeAutospacing="0" w:afterAutospacing="0"/>
        <w:jc w:val="both"/>
        <w:rPr>
          <w:rFonts w:ascii="宋体" w:hAnsi="宋体" w:eastAsia="宋体" w:cs="宋体"/>
        </w:rPr>
      </w:pPr>
    </w:p>
    <w:p w14:paraId="2260D0E0">
      <w:pPr>
        <w:pStyle w:val="8"/>
        <w:spacing w:beforeAutospacing="0" w:afterAutospacing="0"/>
        <w:jc w:val="both"/>
        <w:rPr>
          <w:rFonts w:ascii="宋体" w:hAnsi="宋体" w:eastAsia="宋体" w:cs="宋体"/>
        </w:rPr>
      </w:pPr>
    </w:p>
    <w:p w14:paraId="7739EF13">
      <w:pPr>
        <w:pStyle w:val="8"/>
        <w:spacing w:beforeAutospacing="0" w:afterAutospacing="0"/>
        <w:jc w:val="both"/>
        <w:rPr>
          <w:rFonts w:ascii="宋体" w:hAnsi="宋体" w:eastAsia="宋体" w:cs="宋体"/>
        </w:rPr>
      </w:pPr>
    </w:p>
    <w:p w14:paraId="0495939B">
      <w:pPr>
        <w:pStyle w:val="8"/>
        <w:spacing w:beforeAutospacing="0" w:afterAutospacing="0"/>
        <w:jc w:val="both"/>
        <w:rPr>
          <w:rFonts w:ascii="宋体" w:hAnsi="宋体" w:eastAsia="宋体" w:cs="宋体"/>
        </w:rPr>
      </w:pPr>
    </w:p>
    <w:p w14:paraId="794C63C4">
      <w:pPr>
        <w:pStyle w:val="8"/>
        <w:spacing w:beforeAutospacing="0" w:afterAutospacing="0"/>
        <w:jc w:val="both"/>
        <w:rPr>
          <w:rFonts w:ascii="宋体" w:hAnsi="宋体" w:eastAsia="宋体" w:cs="宋体"/>
        </w:rPr>
      </w:pPr>
    </w:p>
    <w:p w14:paraId="029C5AD5">
      <w:pPr>
        <w:pStyle w:val="8"/>
        <w:spacing w:beforeAutospacing="0" w:afterAutospacing="0"/>
        <w:jc w:val="both"/>
        <w:rPr>
          <w:rFonts w:ascii="宋体" w:hAnsi="宋体" w:eastAsia="宋体" w:cs="宋体"/>
        </w:rPr>
      </w:pPr>
    </w:p>
    <w:p w14:paraId="43553DF9">
      <w:pPr>
        <w:pStyle w:val="8"/>
        <w:spacing w:beforeAutospacing="0" w:afterAutospacing="0"/>
        <w:jc w:val="both"/>
        <w:rPr>
          <w:rFonts w:ascii="宋体" w:hAnsi="宋体" w:eastAsia="宋体" w:cs="宋体"/>
        </w:rPr>
      </w:pPr>
    </w:p>
    <w:p w14:paraId="383753D3">
      <w:pPr>
        <w:pStyle w:val="8"/>
        <w:spacing w:beforeAutospacing="0" w:afterAutospacing="0"/>
        <w:jc w:val="both"/>
        <w:rPr>
          <w:rFonts w:ascii="宋体" w:hAnsi="宋体" w:eastAsia="宋体" w:cs="宋体"/>
        </w:rPr>
      </w:pPr>
    </w:p>
    <w:p w14:paraId="3D979261">
      <w:pPr>
        <w:pStyle w:val="8"/>
        <w:spacing w:beforeAutospacing="0" w:afterAutospacing="0"/>
        <w:jc w:val="both"/>
        <w:rPr>
          <w:rFonts w:ascii="宋体" w:hAnsi="宋体" w:eastAsia="宋体" w:cs="宋体"/>
        </w:rPr>
      </w:pPr>
      <w:r>
        <w:rPr>
          <w:rFonts w:hint="eastAsia" w:ascii="宋体" w:hAnsi="宋体" w:eastAsia="宋体" w:cs="宋体"/>
        </w:rPr>
        <w:t> </w:t>
      </w:r>
    </w:p>
    <w:p w14:paraId="7AD76D13">
      <w:pPr>
        <w:pStyle w:val="8"/>
        <w:spacing w:beforeAutospacing="0" w:afterAutospacing="0"/>
        <w:jc w:val="both"/>
      </w:pPr>
      <w:r>
        <w:t> </w:t>
      </w:r>
    </w:p>
    <w:p w14:paraId="358069F0">
      <w:pPr>
        <w:pStyle w:val="8"/>
        <w:spacing w:beforeAutospacing="0" w:afterAutospacing="0"/>
        <w:jc w:val="both"/>
      </w:pPr>
      <w:r>
        <w:t> </w:t>
      </w:r>
    </w:p>
    <w:p w14:paraId="1A6CF5BB">
      <w:pPr>
        <w:pStyle w:val="8"/>
        <w:spacing w:beforeAutospacing="0" w:afterAutospacing="0"/>
        <w:jc w:val="both"/>
      </w:pPr>
      <w:r>
        <w:t> </w:t>
      </w:r>
    </w:p>
    <w:p w14:paraId="04911E63">
      <w:pPr>
        <w:pStyle w:val="8"/>
        <w:spacing w:beforeAutospacing="0" w:afterAutospacing="0"/>
        <w:jc w:val="both"/>
      </w:pPr>
      <w:r>
        <w:t> </w:t>
      </w:r>
    </w:p>
    <w:p w14:paraId="4E475FB5">
      <w:pPr>
        <w:pStyle w:val="8"/>
        <w:keepNext/>
        <w:spacing w:beforeAutospacing="0" w:afterAutospacing="0"/>
        <w:jc w:val="center"/>
      </w:pPr>
      <w:r>
        <w:rPr>
          <w:rFonts w:hint="eastAsia" w:ascii="黑体" w:hAnsi="宋体" w:eastAsia="黑体" w:cs="黑体"/>
          <w:color w:val="000000"/>
          <w:sz w:val="44"/>
          <w:szCs w:val="44"/>
        </w:rPr>
        <w:t xml:space="preserve">第六章  投标文件格式 </w:t>
      </w:r>
    </w:p>
    <w:p w14:paraId="232F6EE2">
      <w:pPr>
        <w:pStyle w:val="8"/>
        <w:spacing w:beforeAutospacing="0" w:afterAutospacing="0"/>
        <w:jc w:val="center"/>
      </w:pPr>
      <w:bookmarkStart w:id="181" w:name="_Hlt26671244"/>
      <w:bookmarkEnd w:id="181"/>
      <w:bookmarkStart w:id="182" w:name="_Hlt26955039"/>
      <w:bookmarkEnd w:id="182"/>
      <w:bookmarkStart w:id="183" w:name="_Toc26554094"/>
      <w:bookmarkEnd w:id="183"/>
      <w:bookmarkStart w:id="184" w:name="_Toc120614282"/>
      <w:bookmarkStart w:id="185" w:name="_Toc49090576"/>
      <w:r>
        <w:rPr>
          <w:rFonts w:hint="eastAsia" w:ascii="宋体" w:hAnsi="宋体" w:eastAsia="宋体" w:cs="宋体"/>
          <w:b/>
          <w:color w:val="000000"/>
          <w:sz w:val="72"/>
          <w:szCs w:val="72"/>
        </w:rPr>
        <w:t>投  标  文  件</w:t>
      </w:r>
    </w:p>
    <w:p w14:paraId="6DBD9C8E">
      <w:pPr>
        <w:pStyle w:val="8"/>
        <w:spacing w:beforeAutospacing="0" w:afterAutospacing="0"/>
        <w:jc w:val="center"/>
      </w:pPr>
      <w:r>
        <w:t> </w:t>
      </w:r>
    </w:p>
    <w:p w14:paraId="1E2BE63B">
      <w:pPr>
        <w:pStyle w:val="8"/>
        <w:spacing w:beforeAutospacing="0" w:afterAutospacing="0"/>
        <w:jc w:val="center"/>
      </w:pPr>
      <w:r>
        <w:t> </w:t>
      </w:r>
    </w:p>
    <w:p w14:paraId="152C159E">
      <w:pPr>
        <w:pStyle w:val="8"/>
        <w:spacing w:beforeAutospacing="0" w:afterAutospacing="0"/>
        <w:jc w:val="center"/>
      </w:pPr>
      <w:r>
        <w:t> </w:t>
      </w:r>
    </w:p>
    <w:p w14:paraId="5745FA01">
      <w:pPr>
        <w:pStyle w:val="8"/>
        <w:spacing w:beforeAutospacing="0" w:afterAutospacing="0"/>
        <w:jc w:val="center"/>
      </w:pPr>
      <w:r>
        <w:t> </w:t>
      </w:r>
    </w:p>
    <w:p w14:paraId="3294EDA1">
      <w:pPr>
        <w:pStyle w:val="8"/>
        <w:spacing w:beforeAutospacing="0" w:afterAutospacing="0"/>
        <w:jc w:val="center"/>
      </w:pPr>
      <w:r>
        <w:t> </w:t>
      </w:r>
    </w:p>
    <w:p w14:paraId="166CF73B">
      <w:pPr>
        <w:pStyle w:val="8"/>
        <w:spacing w:beforeAutospacing="0" w:afterAutospacing="0"/>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6D555FAF">
      <w:pPr>
        <w:pStyle w:val="8"/>
        <w:spacing w:beforeAutospacing="0" w:afterAutospacing="0"/>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7F44A0D3">
      <w:pPr>
        <w:pStyle w:val="8"/>
        <w:spacing w:beforeAutospacing="0" w:afterAutospacing="0"/>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06DAC05B">
      <w:pPr>
        <w:pStyle w:val="8"/>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111226B9">
      <w:pPr>
        <w:pStyle w:val="8"/>
        <w:spacing w:beforeAutospacing="0" w:afterAutospacing="0" w:line="0" w:lineRule="atLeast"/>
        <w:jc w:val="center"/>
      </w:pPr>
      <w:r>
        <w:t> </w:t>
      </w:r>
    </w:p>
    <w:p w14:paraId="00643B83">
      <w:pPr>
        <w:pStyle w:val="8"/>
        <w:spacing w:beforeAutospacing="0" w:afterAutospacing="0" w:line="0" w:lineRule="atLeast"/>
        <w:jc w:val="both"/>
      </w:pPr>
      <w:r>
        <w:t> </w:t>
      </w:r>
    </w:p>
    <w:p w14:paraId="204BBBD3">
      <w:pPr>
        <w:pStyle w:val="8"/>
        <w:spacing w:beforeAutospacing="0" w:afterAutospacing="0" w:line="0" w:lineRule="atLeast"/>
        <w:jc w:val="center"/>
        <w:rPr>
          <w:rFonts w:ascii="宋体" w:hAnsi="宋体" w:eastAsia="宋体" w:cs="宋体"/>
          <w:b/>
          <w:color w:val="000000"/>
          <w:sz w:val="36"/>
          <w:szCs w:val="36"/>
          <w:u w:val="single"/>
        </w:rPr>
      </w:pPr>
    </w:p>
    <w:p w14:paraId="14716014">
      <w:pPr>
        <w:pStyle w:val="8"/>
        <w:spacing w:beforeAutospacing="0" w:afterAutospacing="0" w:line="0" w:lineRule="atLeast"/>
        <w:jc w:val="center"/>
        <w:rPr>
          <w:rFonts w:ascii="宋体" w:hAnsi="宋体" w:eastAsia="宋体" w:cs="宋体"/>
          <w:b/>
          <w:color w:val="000000"/>
          <w:sz w:val="36"/>
          <w:szCs w:val="36"/>
          <w:u w:val="single"/>
        </w:rPr>
      </w:pPr>
    </w:p>
    <w:p w14:paraId="5C7F99A2">
      <w:pPr>
        <w:pStyle w:val="8"/>
        <w:spacing w:beforeAutospacing="0" w:afterAutospacing="0" w:line="0" w:lineRule="atLeast"/>
        <w:jc w:val="center"/>
        <w:rPr>
          <w:rFonts w:ascii="宋体" w:hAnsi="宋体" w:eastAsia="宋体" w:cs="宋体"/>
          <w:b/>
          <w:color w:val="000000"/>
          <w:sz w:val="36"/>
          <w:szCs w:val="36"/>
          <w:u w:val="single"/>
        </w:rPr>
      </w:pPr>
    </w:p>
    <w:p w14:paraId="2635C8CD">
      <w:pPr>
        <w:pStyle w:val="8"/>
        <w:spacing w:beforeAutospacing="0" w:afterAutospacing="0" w:line="0" w:lineRule="atLeast"/>
        <w:jc w:val="center"/>
        <w:rPr>
          <w:rFonts w:ascii="宋体" w:hAnsi="宋体" w:eastAsia="宋体" w:cs="宋体"/>
          <w:b/>
          <w:color w:val="000000"/>
          <w:sz w:val="36"/>
          <w:szCs w:val="36"/>
          <w:u w:val="single"/>
        </w:rPr>
      </w:pPr>
    </w:p>
    <w:p w14:paraId="786517FE">
      <w:pPr>
        <w:pStyle w:val="8"/>
        <w:spacing w:beforeAutospacing="0" w:afterAutospacing="0" w:line="0" w:lineRule="atLeast"/>
        <w:jc w:val="center"/>
        <w:rPr>
          <w:rFonts w:ascii="宋体" w:hAnsi="宋体" w:eastAsia="宋体" w:cs="宋体"/>
          <w:b/>
          <w:color w:val="000000"/>
          <w:sz w:val="36"/>
          <w:szCs w:val="36"/>
          <w:u w:val="single"/>
        </w:rPr>
      </w:pPr>
    </w:p>
    <w:p w14:paraId="59565BF7">
      <w:pPr>
        <w:pStyle w:val="8"/>
        <w:spacing w:beforeAutospacing="0" w:afterAutospacing="0" w:line="0" w:lineRule="atLeast"/>
        <w:jc w:val="center"/>
        <w:rPr>
          <w:rFonts w:ascii="宋体" w:hAnsi="宋体" w:eastAsia="宋体" w:cs="宋体"/>
          <w:b/>
          <w:color w:val="000000"/>
          <w:sz w:val="36"/>
          <w:szCs w:val="36"/>
          <w:u w:val="single"/>
        </w:rPr>
      </w:pPr>
    </w:p>
    <w:p w14:paraId="6112F3C3">
      <w:pPr>
        <w:pStyle w:val="8"/>
        <w:spacing w:beforeAutospacing="0" w:afterAutospacing="0" w:line="0" w:lineRule="atLeast"/>
        <w:jc w:val="center"/>
        <w:rPr>
          <w:rFonts w:ascii="宋体" w:hAnsi="宋体" w:eastAsia="宋体" w:cs="宋体"/>
          <w:b/>
          <w:color w:val="000000"/>
          <w:sz w:val="36"/>
          <w:szCs w:val="36"/>
          <w:u w:val="single"/>
        </w:rPr>
      </w:pPr>
    </w:p>
    <w:p w14:paraId="79CEAF53">
      <w:pPr>
        <w:pStyle w:val="8"/>
        <w:spacing w:beforeAutospacing="0" w:afterAutospacing="0" w:line="0" w:lineRule="atLeast"/>
        <w:jc w:val="center"/>
        <w:rPr>
          <w:rFonts w:ascii="宋体" w:hAnsi="宋体" w:eastAsia="宋体" w:cs="宋体"/>
          <w:b/>
          <w:color w:val="000000"/>
          <w:sz w:val="36"/>
          <w:szCs w:val="36"/>
          <w:u w:val="single"/>
        </w:rPr>
      </w:pPr>
    </w:p>
    <w:p w14:paraId="57B8F4DE">
      <w:pPr>
        <w:pStyle w:val="8"/>
        <w:spacing w:beforeAutospacing="0" w:afterAutospacing="0" w:line="0" w:lineRule="atLeast"/>
        <w:jc w:val="center"/>
        <w:rPr>
          <w:rFonts w:ascii="宋体" w:hAnsi="宋体" w:eastAsia="宋体" w:cs="宋体"/>
          <w:b/>
          <w:color w:val="000000"/>
          <w:sz w:val="36"/>
          <w:szCs w:val="36"/>
          <w:u w:val="single"/>
        </w:rPr>
      </w:pPr>
    </w:p>
    <w:p w14:paraId="2F1E624C">
      <w:pPr>
        <w:pStyle w:val="8"/>
        <w:spacing w:beforeAutospacing="0" w:afterAutospacing="0" w:line="0" w:lineRule="atLeast"/>
        <w:jc w:val="center"/>
        <w:rPr>
          <w:rFonts w:ascii="宋体" w:hAnsi="宋体" w:eastAsia="宋体" w:cs="宋体"/>
          <w:b/>
          <w:color w:val="000000"/>
          <w:sz w:val="36"/>
          <w:szCs w:val="36"/>
          <w:u w:val="single"/>
        </w:rPr>
      </w:pPr>
    </w:p>
    <w:p w14:paraId="3BADCB03">
      <w:pPr>
        <w:pStyle w:val="8"/>
        <w:spacing w:beforeAutospacing="0" w:afterAutospacing="0" w:line="0" w:lineRule="atLeast"/>
        <w:jc w:val="center"/>
        <w:rPr>
          <w:rFonts w:ascii="宋体" w:hAnsi="宋体" w:eastAsia="宋体" w:cs="宋体"/>
          <w:b/>
          <w:color w:val="000000"/>
          <w:sz w:val="36"/>
          <w:szCs w:val="36"/>
          <w:u w:val="single"/>
        </w:rPr>
      </w:pPr>
    </w:p>
    <w:p w14:paraId="1551FDEC">
      <w:pPr>
        <w:pStyle w:val="8"/>
        <w:spacing w:beforeAutospacing="0" w:afterAutospacing="0" w:line="0" w:lineRule="atLeast"/>
        <w:jc w:val="center"/>
        <w:rPr>
          <w:rFonts w:ascii="宋体" w:hAnsi="宋体" w:eastAsia="宋体" w:cs="宋体"/>
          <w:b/>
          <w:color w:val="000000"/>
          <w:sz w:val="36"/>
          <w:szCs w:val="36"/>
          <w:u w:val="single"/>
        </w:rPr>
      </w:pPr>
    </w:p>
    <w:p w14:paraId="2ADDB9CE">
      <w:pPr>
        <w:pStyle w:val="8"/>
        <w:spacing w:beforeAutospacing="0" w:afterAutospacing="0" w:line="0" w:lineRule="atLeast"/>
        <w:jc w:val="center"/>
        <w:rPr>
          <w:rFonts w:ascii="宋体" w:hAnsi="宋体" w:eastAsia="宋体" w:cs="宋体"/>
          <w:b/>
          <w:color w:val="000000"/>
          <w:sz w:val="36"/>
          <w:szCs w:val="36"/>
          <w:u w:val="single"/>
        </w:rPr>
      </w:pPr>
    </w:p>
    <w:p w14:paraId="172DE37D">
      <w:pPr>
        <w:pStyle w:val="8"/>
        <w:spacing w:beforeAutospacing="0" w:afterAutospacing="0" w:line="0" w:lineRule="atLeast"/>
        <w:jc w:val="center"/>
      </w:pPr>
      <w:r>
        <w:rPr>
          <w:rFonts w:hint="eastAsia" w:ascii="宋体" w:hAnsi="宋体" w:eastAsia="宋体" w:cs="宋体"/>
          <w:b/>
          <w:color w:val="000000"/>
          <w:sz w:val="32"/>
          <w:szCs w:val="32"/>
        </w:rPr>
        <w:t>投标文件目录</w:t>
      </w:r>
    </w:p>
    <w:p w14:paraId="567CE91B">
      <w:pPr>
        <w:pStyle w:val="8"/>
        <w:spacing w:beforeAutospacing="0" w:afterAutospacing="0" w:line="0" w:lineRule="atLeast"/>
        <w:jc w:val="center"/>
        <w:rPr>
          <w:sz w:val="21"/>
          <w:szCs w:val="21"/>
        </w:rPr>
      </w:pPr>
      <w:r>
        <w:rPr>
          <w:sz w:val="21"/>
          <w:szCs w:val="21"/>
        </w:rPr>
        <w:t> </w:t>
      </w:r>
    </w:p>
    <w:p w14:paraId="1107A194">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一、法人或者其他组织的营业执照等证明文件，自然人的身份证明</w:t>
      </w:r>
    </w:p>
    <w:p w14:paraId="6CCE6C67">
      <w:pPr>
        <w:tabs>
          <w:tab w:val="left" w:pos="1331"/>
        </w:tabs>
        <w:ind w:firstLine="420" w:firstLineChars="200"/>
        <w:jc w:val="left"/>
        <w:rPr>
          <w:rFonts w:ascii="宋体" w:hAnsi="宋体" w:eastAsia="宋体" w:cs="宋体"/>
          <w:iCs/>
          <w:color w:val="000000"/>
          <w:kern w:val="0"/>
          <w:szCs w:val="21"/>
        </w:rPr>
      </w:pPr>
      <w:r>
        <w:rPr>
          <w:rFonts w:hint="eastAsia" w:ascii="宋体" w:hAnsi="宋体" w:eastAsia="宋体" w:cs="宋体"/>
          <w:iCs/>
          <w:color w:val="000000"/>
          <w:kern w:val="0"/>
          <w:szCs w:val="21"/>
        </w:rPr>
        <w:t>二、上一年度的财务状况报告（至少提供资产负债表、利润表、现金流量表，</w:t>
      </w:r>
    </w:p>
    <w:p w14:paraId="462189C1">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投标人成立不满一年无需提供）</w:t>
      </w:r>
    </w:p>
    <w:p w14:paraId="0FAE7EF8">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三、具备履行合同所必需的设备和专业技术能力的书面声明</w:t>
      </w:r>
    </w:p>
    <w:p w14:paraId="34499901">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67F9BF3">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五、参加政府采购活动前 3 年内在经营活动中没有重大违法记录的书面声明</w:t>
      </w:r>
    </w:p>
    <w:p w14:paraId="688E71EC">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六、特定资格要求的证明文件（如果本项目设置特定资格要求，则需要提供）</w:t>
      </w:r>
    </w:p>
    <w:p w14:paraId="3BB550DD">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七、法人授权书</w:t>
      </w:r>
    </w:p>
    <w:p w14:paraId="35EBF7DE">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八、投标函</w:t>
      </w:r>
    </w:p>
    <w:p w14:paraId="3890C15D">
      <w:pPr>
        <w:pStyle w:val="8"/>
        <w:spacing w:beforeAutospacing="0" w:afterAutospacing="0" w:line="0" w:lineRule="atLeast"/>
        <w:ind w:firstLine="480"/>
        <w:jc w:val="both"/>
        <w:rPr>
          <w:rFonts w:ascii="宋体" w:hAnsi="宋体" w:eastAsia="宋体" w:cs="宋体"/>
          <w:iCs/>
          <w:color w:val="000000"/>
          <w:sz w:val="21"/>
          <w:szCs w:val="21"/>
        </w:rPr>
      </w:pPr>
      <w:r>
        <w:rPr>
          <w:rFonts w:hint="eastAsia" w:ascii="宋体" w:hAnsi="宋体" w:eastAsia="宋体" w:cs="宋体"/>
          <w:iCs/>
          <w:color w:val="000000"/>
          <w:sz w:val="21"/>
          <w:szCs w:val="21"/>
        </w:rPr>
        <w:t>九、</w:t>
      </w:r>
      <w:r>
        <w:rPr>
          <w:rFonts w:hint="eastAsia" w:ascii="宋体" w:hAnsi="宋体" w:eastAsia="宋体" w:cs="宋体"/>
          <w:iCs/>
          <w:sz w:val="21"/>
          <w:szCs w:val="21"/>
        </w:rPr>
        <w:t>中小企业声明函</w:t>
      </w:r>
    </w:p>
    <w:p w14:paraId="2456CBBA">
      <w:pPr>
        <w:pStyle w:val="8"/>
        <w:spacing w:beforeAutospacing="0" w:afterAutospacing="0" w:line="0" w:lineRule="atLeast"/>
        <w:ind w:firstLine="480"/>
        <w:jc w:val="both"/>
        <w:rPr>
          <w:rFonts w:ascii="宋体" w:hAnsi="宋体" w:eastAsia="宋体" w:cs="宋体"/>
          <w:iCs/>
          <w:color w:val="000000"/>
          <w:sz w:val="21"/>
          <w:szCs w:val="21"/>
        </w:rPr>
      </w:pPr>
      <w:r>
        <w:rPr>
          <w:rFonts w:hint="eastAsia" w:ascii="宋体" w:hAnsi="宋体" w:eastAsia="宋体" w:cs="宋体"/>
          <w:iCs/>
          <w:color w:val="000000"/>
          <w:sz w:val="21"/>
          <w:szCs w:val="21"/>
        </w:rPr>
        <w:t>十、残疾人福利性单位声明函</w:t>
      </w:r>
    </w:p>
    <w:p w14:paraId="30D2683A">
      <w:pPr>
        <w:pStyle w:val="8"/>
        <w:spacing w:beforeAutospacing="0" w:afterAutospacing="0" w:line="0" w:lineRule="atLeast"/>
        <w:ind w:firstLine="480"/>
        <w:jc w:val="both"/>
        <w:rPr>
          <w:rFonts w:ascii="宋体" w:hAnsi="宋体" w:eastAsia="宋体" w:cs="宋体"/>
          <w:iCs/>
          <w:color w:val="000000"/>
          <w:sz w:val="21"/>
          <w:szCs w:val="21"/>
        </w:rPr>
      </w:pPr>
      <w:r>
        <w:rPr>
          <w:rFonts w:hint="eastAsia" w:ascii="宋体" w:hAnsi="宋体" w:eastAsia="宋体" w:cs="宋体"/>
          <w:iCs/>
          <w:color w:val="000000"/>
          <w:sz w:val="21"/>
          <w:szCs w:val="21"/>
        </w:rPr>
        <w:t>十一、联合体协议</w:t>
      </w:r>
    </w:p>
    <w:p w14:paraId="12F541C1">
      <w:pPr>
        <w:pStyle w:val="8"/>
        <w:spacing w:beforeAutospacing="0" w:afterAutospacing="0" w:line="0" w:lineRule="atLeast"/>
        <w:ind w:firstLine="480"/>
        <w:jc w:val="both"/>
        <w:rPr>
          <w:rFonts w:ascii="宋体" w:hAnsi="宋体" w:eastAsia="宋体" w:cs="宋体"/>
          <w:iCs/>
          <w:color w:val="000000"/>
          <w:sz w:val="21"/>
          <w:szCs w:val="21"/>
        </w:rPr>
      </w:pPr>
      <w:r>
        <w:rPr>
          <w:rFonts w:hint="eastAsia" w:ascii="宋体" w:hAnsi="宋体" w:eastAsia="宋体" w:cs="宋体"/>
          <w:iCs/>
          <w:color w:val="000000"/>
          <w:sz w:val="21"/>
          <w:szCs w:val="21"/>
        </w:rPr>
        <w:t>十二、投标分项报价表</w:t>
      </w:r>
    </w:p>
    <w:p w14:paraId="65E843EE">
      <w:pPr>
        <w:pStyle w:val="8"/>
        <w:spacing w:beforeAutospacing="0" w:afterAutospacing="0" w:line="0" w:lineRule="atLeast"/>
        <w:ind w:firstLine="480"/>
        <w:jc w:val="both"/>
        <w:rPr>
          <w:rFonts w:ascii="宋体" w:hAnsi="宋体" w:eastAsia="宋体" w:cs="宋体"/>
          <w:iCs/>
          <w:color w:val="000000"/>
          <w:sz w:val="21"/>
          <w:szCs w:val="21"/>
        </w:rPr>
      </w:pPr>
      <w:r>
        <w:rPr>
          <w:rFonts w:hint="eastAsia" w:ascii="宋体" w:hAnsi="宋体" w:eastAsia="宋体" w:cs="宋体"/>
          <w:iCs/>
          <w:color w:val="000000"/>
          <w:sz w:val="21"/>
          <w:szCs w:val="21"/>
        </w:rPr>
        <w:t>十三、技术要求响应及偏离表</w:t>
      </w:r>
    </w:p>
    <w:p w14:paraId="1A82F1DB">
      <w:pPr>
        <w:pStyle w:val="8"/>
        <w:spacing w:beforeAutospacing="0" w:afterAutospacing="0" w:line="0" w:lineRule="atLeast"/>
        <w:ind w:firstLine="480"/>
        <w:jc w:val="both"/>
        <w:rPr>
          <w:rFonts w:ascii="宋体" w:hAnsi="宋体" w:eastAsia="宋体" w:cs="宋体"/>
          <w:iCs/>
          <w:color w:val="000000"/>
          <w:sz w:val="21"/>
          <w:szCs w:val="21"/>
        </w:rPr>
      </w:pPr>
      <w:r>
        <w:rPr>
          <w:rFonts w:hint="eastAsia" w:ascii="宋体" w:hAnsi="宋体" w:eastAsia="宋体" w:cs="宋体"/>
          <w:iCs/>
          <w:color w:val="000000"/>
          <w:sz w:val="21"/>
          <w:szCs w:val="21"/>
        </w:rPr>
        <w:t>十四、商务要求响应及偏离表</w:t>
      </w:r>
    </w:p>
    <w:p w14:paraId="2C8523B8">
      <w:pPr>
        <w:pStyle w:val="8"/>
        <w:spacing w:beforeAutospacing="0" w:afterAutospacing="0"/>
        <w:ind w:left="480"/>
        <w:jc w:val="both"/>
        <w:rPr>
          <w:rFonts w:ascii="宋体" w:hAnsi="宋体" w:eastAsia="宋体" w:cs="宋体"/>
          <w:iCs/>
          <w:color w:val="000000"/>
          <w:sz w:val="21"/>
          <w:szCs w:val="21"/>
        </w:rPr>
      </w:pPr>
      <w:r>
        <w:rPr>
          <w:rFonts w:hint="eastAsia" w:ascii="宋体" w:hAnsi="宋体" w:eastAsia="宋体" w:cs="宋体"/>
          <w:iCs/>
          <w:color w:val="000000"/>
          <w:sz w:val="21"/>
          <w:szCs w:val="21"/>
        </w:rPr>
        <w:t>十五、开标一览表</w:t>
      </w:r>
    </w:p>
    <w:p w14:paraId="0AB8166D">
      <w:pPr>
        <w:widowControl/>
        <w:spacing w:before="50" w:after="50"/>
        <w:ind w:firstLine="420" w:firstLineChars="200"/>
        <w:rPr>
          <w:rFonts w:ascii="宋体" w:hAnsi="宋体" w:eastAsia="宋体" w:cs="宋体"/>
          <w:iCs/>
          <w:color w:val="000000"/>
          <w:kern w:val="0"/>
          <w:szCs w:val="21"/>
        </w:rPr>
      </w:pPr>
      <w:r>
        <w:rPr>
          <w:rFonts w:hint="eastAsia" w:ascii="宋体" w:hAnsi="宋体" w:eastAsia="宋体" w:cs="宋体"/>
          <w:iCs/>
          <w:color w:val="000000"/>
          <w:kern w:val="0"/>
          <w:szCs w:val="21"/>
        </w:rPr>
        <w:t>十六、技术方案、服务承诺、培训承诺等</w:t>
      </w:r>
    </w:p>
    <w:p w14:paraId="5340F923">
      <w:pPr>
        <w:pStyle w:val="8"/>
        <w:spacing w:beforeAutospacing="0" w:afterAutospacing="0" w:line="360" w:lineRule="auto"/>
        <w:ind w:firstLine="480"/>
        <w:jc w:val="both"/>
        <w:rPr>
          <w:rFonts w:ascii="宋体" w:hAnsi="宋体" w:eastAsia="宋体" w:cs="宋体"/>
          <w:iCs/>
          <w:color w:val="000000"/>
          <w:sz w:val="21"/>
          <w:szCs w:val="21"/>
        </w:rPr>
      </w:pPr>
      <w:r>
        <w:rPr>
          <w:rFonts w:hint="eastAsia" w:ascii="宋体" w:hAnsi="宋体" w:eastAsia="宋体" w:cs="宋体"/>
          <w:iCs/>
          <w:color w:val="000000"/>
          <w:sz w:val="21"/>
          <w:szCs w:val="21"/>
        </w:rPr>
        <w:t>十七、盐城市政府采购事前信用承诺书</w:t>
      </w:r>
    </w:p>
    <w:p w14:paraId="7EA28DA0">
      <w:pPr>
        <w:pStyle w:val="8"/>
        <w:spacing w:beforeAutospacing="0" w:afterAutospacing="0" w:line="0" w:lineRule="atLeast"/>
        <w:ind w:firstLine="480"/>
        <w:jc w:val="both"/>
        <w:rPr>
          <w:rFonts w:ascii="宋体" w:hAnsi="宋体" w:eastAsia="宋体" w:cs="宋体"/>
          <w:color w:val="000000"/>
        </w:rPr>
      </w:pPr>
    </w:p>
    <w:p w14:paraId="3D203221">
      <w:pPr>
        <w:pStyle w:val="8"/>
        <w:spacing w:beforeAutospacing="0" w:afterAutospacing="0" w:line="0" w:lineRule="atLeast"/>
        <w:ind w:firstLine="480"/>
        <w:jc w:val="both"/>
        <w:rPr>
          <w:rFonts w:ascii="宋体" w:hAnsi="宋体" w:eastAsia="宋体" w:cs="宋体"/>
          <w:color w:val="000000"/>
        </w:rPr>
      </w:pPr>
    </w:p>
    <w:p w14:paraId="172FF156">
      <w:pPr>
        <w:pStyle w:val="8"/>
        <w:spacing w:beforeAutospacing="0" w:afterAutospacing="0" w:line="0" w:lineRule="atLeast"/>
        <w:ind w:firstLine="480"/>
        <w:jc w:val="both"/>
      </w:pPr>
      <w:r>
        <w:t> </w:t>
      </w:r>
    </w:p>
    <w:p w14:paraId="254A1F73">
      <w:pPr>
        <w:pStyle w:val="8"/>
        <w:spacing w:beforeAutospacing="0" w:afterAutospacing="0" w:line="0" w:lineRule="atLeast"/>
        <w:ind w:firstLine="480"/>
        <w:jc w:val="both"/>
      </w:pPr>
      <w:r>
        <w:t> </w:t>
      </w:r>
    </w:p>
    <w:p w14:paraId="27A542E4">
      <w:pPr>
        <w:pStyle w:val="8"/>
        <w:spacing w:beforeAutospacing="0" w:afterAutospacing="0" w:line="0" w:lineRule="atLeast"/>
        <w:ind w:firstLine="480"/>
        <w:jc w:val="both"/>
      </w:pPr>
      <w:r>
        <w:t> </w:t>
      </w:r>
    </w:p>
    <w:p w14:paraId="0A03DC94">
      <w:pPr>
        <w:pStyle w:val="8"/>
        <w:spacing w:beforeAutospacing="0" w:afterAutospacing="0" w:line="0" w:lineRule="atLeast"/>
        <w:ind w:firstLine="480"/>
        <w:jc w:val="both"/>
      </w:pPr>
      <w:r>
        <w:t> </w:t>
      </w:r>
    </w:p>
    <w:p w14:paraId="5131D2A3">
      <w:pPr>
        <w:pStyle w:val="8"/>
        <w:spacing w:beforeAutospacing="0" w:afterAutospacing="0" w:line="0" w:lineRule="atLeast"/>
        <w:ind w:firstLine="480"/>
        <w:jc w:val="both"/>
      </w:pPr>
    </w:p>
    <w:p w14:paraId="7F6A8BE1">
      <w:pPr>
        <w:pStyle w:val="8"/>
        <w:spacing w:beforeAutospacing="0" w:afterAutospacing="0" w:line="0" w:lineRule="atLeast"/>
        <w:ind w:firstLine="480"/>
        <w:jc w:val="both"/>
      </w:pPr>
    </w:p>
    <w:p w14:paraId="358540AF">
      <w:pPr>
        <w:pStyle w:val="8"/>
        <w:spacing w:beforeAutospacing="0" w:afterAutospacing="0" w:line="0" w:lineRule="atLeast"/>
        <w:ind w:firstLine="480"/>
        <w:jc w:val="both"/>
      </w:pPr>
    </w:p>
    <w:p w14:paraId="540F3C7C">
      <w:pPr>
        <w:pStyle w:val="8"/>
        <w:spacing w:beforeAutospacing="0" w:afterAutospacing="0" w:line="0" w:lineRule="atLeast"/>
        <w:ind w:firstLine="480"/>
        <w:jc w:val="both"/>
      </w:pPr>
    </w:p>
    <w:p w14:paraId="679042C0">
      <w:pPr>
        <w:pStyle w:val="8"/>
        <w:spacing w:beforeAutospacing="0" w:afterAutospacing="0" w:line="0" w:lineRule="atLeast"/>
        <w:ind w:firstLine="480"/>
        <w:jc w:val="both"/>
      </w:pPr>
    </w:p>
    <w:p w14:paraId="245DBA8F">
      <w:pPr>
        <w:pStyle w:val="8"/>
        <w:spacing w:beforeAutospacing="0" w:afterAutospacing="0" w:line="0" w:lineRule="atLeast"/>
        <w:ind w:firstLine="480"/>
        <w:jc w:val="both"/>
      </w:pPr>
    </w:p>
    <w:p w14:paraId="3ACACEA0">
      <w:pPr>
        <w:pStyle w:val="8"/>
        <w:spacing w:beforeAutospacing="0" w:afterAutospacing="0" w:line="0" w:lineRule="atLeast"/>
        <w:ind w:firstLine="480"/>
        <w:jc w:val="both"/>
      </w:pPr>
    </w:p>
    <w:p w14:paraId="11659F54">
      <w:pPr>
        <w:pStyle w:val="8"/>
        <w:spacing w:beforeAutospacing="0" w:afterAutospacing="0" w:line="0" w:lineRule="atLeast"/>
        <w:ind w:firstLine="480"/>
        <w:jc w:val="both"/>
      </w:pPr>
    </w:p>
    <w:p w14:paraId="029E0CC5">
      <w:pPr>
        <w:pStyle w:val="8"/>
        <w:spacing w:beforeAutospacing="0" w:afterAutospacing="0" w:line="0" w:lineRule="atLeast"/>
        <w:ind w:firstLine="480"/>
        <w:jc w:val="both"/>
      </w:pPr>
    </w:p>
    <w:p w14:paraId="045C9E56">
      <w:pPr>
        <w:pStyle w:val="8"/>
        <w:spacing w:beforeAutospacing="0" w:afterAutospacing="0" w:line="0" w:lineRule="atLeast"/>
        <w:ind w:firstLine="480"/>
        <w:jc w:val="both"/>
      </w:pPr>
    </w:p>
    <w:p w14:paraId="703308A2">
      <w:pPr>
        <w:pStyle w:val="8"/>
        <w:spacing w:beforeAutospacing="0" w:afterAutospacing="0" w:line="0" w:lineRule="atLeast"/>
        <w:ind w:firstLine="480"/>
        <w:jc w:val="both"/>
      </w:pPr>
    </w:p>
    <w:p w14:paraId="70DF12F2">
      <w:pPr>
        <w:pStyle w:val="8"/>
        <w:spacing w:beforeAutospacing="0" w:afterAutospacing="0" w:line="0" w:lineRule="atLeast"/>
        <w:ind w:firstLine="480"/>
        <w:jc w:val="both"/>
      </w:pPr>
    </w:p>
    <w:p w14:paraId="38E6B265">
      <w:pPr>
        <w:pStyle w:val="8"/>
        <w:spacing w:beforeAutospacing="0" w:afterAutospacing="0" w:line="0" w:lineRule="atLeast"/>
        <w:ind w:firstLine="480"/>
        <w:jc w:val="both"/>
      </w:pPr>
    </w:p>
    <w:p w14:paraId="05569680">
      <w:pPr>
        <w:pStyle w:val="8"/>
        <w:spacing w:beforeAutospacing="0" w:afterAutospacing="0" w:line="0" w:lineRule="atLeast"/>
        <w:ind w:firstLine="480"/>
        <w:jc w:val="both"/>
      </w:pPr>
    </w:p>
    <w:p w14:paraId="65D85CC0">
      <w:pPr>
        <w:pStyle w:val="8"/>
        <w:spacing w:beforeAutospacing="0" w:afterAutospacing="0" w:line="0" w:lineRule="atLeast"/>
        <w:ind w:firstLine="480"/>
        <w:jc w:val="both"/>
      </w:pPr>
    </w:p>
    <w:p w14:paraId="386B310E">
      <w:pPr>
        <w:pStyle w:val="8"/>
        <w:spacing w:beforeAutospacing="0" w:afterAutospacing="0" w:line="0" w:lineRule="atLeast"/>
        <w:ind w:firstLine="480"/>
        <w:jc w:val="both"/>
      </w:pPr>
    </w:p>
    <w:p w14:paraId="0345B0DE">
      <w:pPr>
        <w:pStyle w:val="8"/>
        <w:spacing w:beforeAutospacing="0" w:afterAutospacing="0" w:line="0" w:lineRule="atLeast"/>
        <w:ind w:firstLine="480"/>
        <w:jc w:val="both"/>
      </w:pPr>
      <w:r>
        <w:t> </w:t>
      </w:r>
    </w:p>
    <w:p w14:paraId="239EF2C4">
      <w:pPr>
        <w:pStyle w:val="8"/>
        <w:spacing w:beforeAutospacing="0" w:afterAutospacing="0" w:line="0" w:lineRule="atLeast"/>
        <w:ind w:firstLine="480"/>
        <w:jc w:val="both"/>
      </w:pPr>
      <w:r>
        <w:t> </w:t>
      </w:r>
    </w:p>
    <w:p w14:paraId="23D412F0">
      <w:pPr>
        <w:pStyle w:val="8"/>
        <w:spacing w:beforeAutospacing="0" w:afterAutospacing="0" w:line="0" w:lineRule="atLeast"/>
        <w:ind w:firstLine="480"/>
        <w:jc w:val="both"/>
      </w:pPr>
      <w:r>
        <w:t> </w:t>
      </w:r>
    </w:p>
    <w:p w14:paraId="19E7417B">
      <w:pPr>
        <w:pStyle w:val="8"/>
        <w:spacing w:beforeAutospacing="0" w:afterAutospacing="0" w:line="0" w:lineRule="atLeast"/>
        <w:ind w:firstLine="480"/>
        <w:jc w:val="both"/>
      </w:pPr>
      <w:r>
        <w:t> </w:t>
      </w:r>
    </w:p>
    <w:p w14:paraId="57C7B950">
      <w:pPr>
        <w:pStyle w:val="8"/>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241D23A8">
      <w:pPr>
        <w:pStyle w:val="8"/>
        <w:spacing w:beforeAutospacing="0" w:afterAutospacing="0" w:line="0" w:lineRule="atLeast"/>
        <w:ind w:firstLine="480"/>
        <w:jc w:val="both"/>
      </w:pPr>
      <w:r>
        <w:t> </w:t>
      </w:r>
    </w:p>
    <w:p w14:paraId="0CEDA599">
      <w:pPr>
        <w:pStyle w:val="8"/>
        <w:spacing w:beforeAutospacing="0" w:afterAutospacing="0"/>
        <w:jc w:val="both"/>
        <w:rPr>
          <w:rFonts w:eastAsia="黑体"/>
        </w:rPr>
      </w:pPr>
      <w:r>
        <w:rPr>
          <w:rFonts w:hint="eastAsia" w:ascii="黑体" w:hAnsi="宋体" w:eastAsia="黑体" w:cs="黑体"/>
          <w:i/>
          <w:color w:val="000000"/>
          <w:sz w:val="32"/>
          <w:szCs w:val="32"/>
          <w:u w:val="single"/>
        </w:rPr>
        <w:t>二、上一年度的财务状况报告</w:t>
      </w:r>
    </w:p>
    <w:p w14:paraId="13F68F97">
      <w:pPr>
        <w:tabs>
          <w:tab w:val="left" w:pos="1331"/>
        </w:tabs>
        <w:jc w:val="left"/>
        <w:rPr>
          <w:rFonts w:ascii="宋体" w:hAnsi="宋体" w:eastAsia="宋体" w:cs="宋体"/>
          <w:iCs/>
          <w:color w:val="000000"/>
          <w:kern w:val="0"/>
          <w:sz w:val="24"/>
        </w:rPr>
      </w:pPr>
      <w:r>
        <w:rPr>
          <w:rFonts w:hint="eastAsia" w:ascii="宋体" w:hAnsi="宋体" w:eastAsia="宋体" w:cs="宋体"/>
          <w:iCs/>
          <w:color w:val="000000"/>
          <w:kern w:val="0"/>
          <w:sz w:val="24"/>
        </w:rPr>
        <w:t>（至少提供资产负债表、利润表、现金流量表，投标人成立不满一年无需提供）</w:t>
      </w:r>
    </w:p>
    <w:p w14:paraId="74EF3F63">
      <w:pPr>
        <w:pStyle w:val="8"/>
        <w:spacing w:beforeAutospacing="0" w:afterAutospacing="0" w:line="0" w:lineRule="atLeast"/>
        <w:ind w:firstLine="480"/>
        <w:jc w:val="both"/>
      </w:pPr>
    </w:p>
    <w:p w14:paraId="195FA743">
      <w:pPr>
        <w:pStyle w:val="8"/>
        <w:spacing w:beforeAutospacing="0" w:afterAutospacing="0"/>
        <w:jc w:val="both"/>
      </w:pPr>
      <w:r>
        <w:t> </w:t>
      </w:r>
    </w:p>
    <w:p w14:paraId="05A07735">
      <w:pPr>
        <w:pStyle w:val="8"/>
        <w:spacing w:beforeAutospacing="0" w:afterAutospacing="0"/>
        <w:jc w:val="both"/>
      </w:pPr>
      <w:r>
        <w:t> </w:t>
      </w:r>
    </w:p>
    <w:p w14:paraId="7809D2C4">
      <w:pPr>
        <w:pStyle w:val="8"/>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2BE790FB">
      <w:pPr>
        <w:pStyle w:val="8"/>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6DB1B6B0">
      <w:pPr>
        <w:pStyle w:val="8"/>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5BA5F0B">
      <w:pPr>
        <w:pStyle w:val="8"/>
        <w:spacing w:beforeAutospacing="0" w:afterAutospacing="0"/>
        <w:jc w:val="both"/>
        <w:rPr>
          <w:rFonts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69DD126B">
      <w:pPr>
        <w:pStyle w:val="8"/>
        <w:spacing w:beforeAutospacing="0" w:afterAutospacing="0"/>
        <w:jc w:val="both"/>
      </w:pPr>
      <w:r>
        <w:rPr>
          <w:rFonts w:hint="eastAsia" w:ascii="黑体" w:hAnsi="宋体" w:eastAsia="黑体" w:cs="黑体"/>
          <w:i/>
          <w:color w:val="000000"/>
          <w:sz w:val="32"/>
          <w:szCs w:val="32"/>
          <w:u w:val="single"/>
        </w:rPr>
        <w:t>四、依法缴纳税收和社会保障资金的相关材料</w:t>
      </w:r>
    </w:p>
    <w:p w14:paraId="61188283">
      <w:pPr>
        <w:pStyle w:val="8"/>
        <w:spacing w:beforeAutospacing="0" w:afterAutospacing="0"/>
        <w:ind w:firstLine="480"/>
        <w:jc w:val="both"/>
      </w:pPr>
      <w:bookmarkStart w:id="186"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6"/>
    </w:p>
    <w:p w14:paraId="0453CE29">
      <w:pPr>
        <w:pStyle w:val="8"/>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1E18A3F5">
      <w:pPr>
        <w:pStyle w:val="8"/>
        <w:spacing w:beforeAutospacing="0" w:afterAutospacing="0" w:line="0" w:lineRule="atLeast"/>
        <w:jc w:val="both"/>
      </w:pPr>
      <w:r>
        <w:rPr>
          <w:rFonts w:hint="eastAsia" w:ascii="宋体" w:hAnsi="宋体" w:eastAsia="宋体" w:cs="宋体"/>
          <w:b/>
          <w:color w:val="000000"/>
          <w:sz w:val="44"/>
          <w:szCs w:val="44"/>
        </w:rPr>
        <w:t>       声  明</w:t>
      </w:r>
    </w:p>
    <w:p w14:paraId="3256B629">
      <w:pPr>
        <w:pStyle w:val="8"/>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439719A9">
      <w:pPr>
        <w:pStyle w:val="8"/>
        <w:spacing w:beforeAutospacing="0" w:afterAutospacing="0"/>
        <w:jc w:val="both"/>
      </w:pPr>
      <w:r>
        <w:t> </w:t>
      </w:r>
    </w:p>
    <w:p w14:paraId="16C04F46">
      <w:pPr>
        <w:pStyle w:val="8"/>
        <w:spacing w:beforeAutospacing="0" w:afterAutospacing="0"/>
        <w:jc w:val="both"/>
      </w:pPr>
      <w:r>
        <w:rPr>
          <w:rFonts w:hint="eastAsia" w:ascii="黑体" w:hAnsi="宋体" w:eastAsia="黑体" w:cs="黑体"/>
          <w:i/>
          <w:color w:val="000000"/>
          <w:sz w:val="32"/>
          <w:szCs w:val="32"/>
          <w:u w:val="single"/>
        </w:rPr>
        <w:t>六、特定资格要求的证明文件</w:t>
      </w:r>
    </w:p>
    <w:p w14:paraId="6AADF2F7">
      <w:pPr>
        <w:pStyle w:val="8"/>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2E4ED2F6">
      <w:pPr>
        <w:pStyle w:val="8"/>
        <w:spacing w:beforeAutospacing="0" w:afterAutospacing="0" w:line="0" w:lineRule="atLeast"/>
        <w:jc w:val="both"/>
      </w:pPr>
      <w:r>
        <w:t> </w:t>
      </w:r>
    </w:p>
    <w:p w14:paraId="20FFEA0E">
      <w:pPr>
        <w:pStyle w:val="8"/>
        <w:spacing w:beforeAutospacing="0" w:afterAutospacing="0"/>
        <w:jc w:val="center"/>
        <w:rPr>
          <w:rFonts w:ascii="黑体" w:hAnsi="宋体" w:eastAsia="黑体" w:cs="黑体"/>
          <w:i/>
          <w:color w:val="000000"/>
          <w:sz w:val="32"/>
          <w:szCs w:val="32"/>
          <w:u w:val="single"/>
        </w:rPr>
      </w:pPr>
    </w:p>
    <w:p w14:paraId="14C2E7E4">
      <w:pPr>
        <w:pStyle w:val="8"/>
        <w:spacing w:beforeAutospacing="0" w:afterAutospacing="0"/>
        <w:jc w:val="center"/>
        <w:rPr>
          <w:rFonts w:ascii="黑体" w:hAnsi="宋体" w:eastAsia="黑体" w:cs="黑体"/>
          <w:i/>
          <w:color w:val="000000"/>
          <w:sz w:val="32"/>
          <w:szCs w:val="32"/>
          <w:u w:val="single"/>
        </w:rPr>
      </w:pPr>
    </w:p>
    <w:p w14:paraId="1446D046">
      <w:pPr>
        <w:pStyle w:val="8"/>
        <w:spacing w:beforeAutospacing="0" w:afterAutospacing="0"/>
        <w:jc w:val="center"/>
        <w:rPr>
          <w:rFonts w:ascii="黑体" w:hAnsi="宋体" w:eastAsia="黑体" w:cs="黑体"/>
          <w:i/>
          <w:color w:val="000000"/>
          <w:sz w:val="32"/>
          <w:szCs w:val="32"/>
          <w:u w:val="single"/>
        </w:rPr>
      </w:pPr>
    </w:p>
    <w:p w14:paraId="32510670">
      <w:pPr>
        <w:pStyle w:val="8"/>
        <w:spacing w:beforeAutospacing="0" w:afterAutospacing="0"/>
        <w:jc w:val="center"/>
        <w:rPr>
          <w:rFonts w:ascii="黑体" w:hAnsi="宋体" w:eastAsia="黑体" w:cs="黑体"/>
          <w:i/>
          <w:color w:val="000000"/>
          <w:sz w:val="32"/>
          <w:szCs w:val="32"/>
          <w:u w:val="single"/>
        </w:rPr>
      </w:pPr>
    </w:p>
    <w:p w14:paraId="6970BC4B">
      <w:pPr>
        <w:pStyle w:val="8"/>
        <w:spacing w:beforeAutospacing="0" w:afterAutospacing="0"/>
        <w:jc w:val="center"/>
      </w:pPr>
      <w:r>
        <w:rPr>
          <w:rFonts w:hint="eastAsia" w:ascii="黑体" w:hAnsi="宋体" w:eastAsia="黑体" w:cs="黑体"/>
          <w:i/>
          <w:color w:val="000000"/>
          <w:sz w:val="32"/>
          <w:szCs w:val="32"/>
          <w:u w:val="single"/>
        </w:rPr>
        <w:t>七、法人授权书</w:t>
      </w:r>
    </w:p>
    <w:p w14:paraId="24F47FA3">
      <w:pPr>
        <w:pStyle w:val="8"/>
        <w:tabs>
          <w:tab w:val="left" w:pos="360"/>
        </w:tabs>
        <w:spacing w:beforeAutospacing="0" w:afterAutospacing="0"/>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52D14364">
      <w:pPr>
        <w:pStyle w:val="8"/>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41132F7D">
      <w:pPr>
        <w:pStyle w:val="8"/>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1811B849">
      <w:pPr>
        <w:pStyle w:val="8"/>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7AD7953E">
      <w:pPr>
        <w:pStyle w:val="8"/>
        <w:tabs>
          <w:tab w:val="left" w:pos="360"/>
        </w:tabs>
        <w:spacing w:beforeAutospacing="0" w:afterAutospacing="0"/>
        <w:ind w:firstLine="1200"/>
        <w:jc w:val="both"/>
      </w:pPr>
      <w:r>
        <w:rPr>
          <w:rFonts w:ascii="Times New Roman" w:hAnsi="Times New Roman"/>
          <w:color w:val="000000"/>
        </w:rPr>
        <w:t>授权单位名称：</w:t>
      </w:r>
      <w:r>
        <w:rPr>
          <w:rFonts w:ascii="Times New Roman" w:hAnsi="Times New Roman"/>
          <w:color w:val="000000"/>
          <w:u w:val="single"/>
        </w:rPr>
        <w:t>（加盖CA电子公章）</w:t>
      </w:r>
    </w:p>
    <w:p w14:paraId="3B856BBA">
      <w:pPr>
        <w:pStyle w:val="8"/>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08829052">
      <w:pPr>
        <w:pStyle w:val="8"/>
        <w:tabs>
          <w:tab w:val="left" w:pos="360"/>
        </w:tabs>
        <w:spacing w:beforeAutospacing="0" w:afterAutospacing="0"/>
        <w:ind w:firstLine="480"/>
        <w:jc w:val="both"/>
      </w:pPr>
      <w:r>
        <w:rPr>
          <w:rFonts w:ascii="Times New Roman" w:hAnsi="Times New Roman"/>
          <w:color w:val="000000"/>
        </w:rPr>
        <w:t>      日期：</w:t>
      </w:r>
      <w:bookmarkStart w:id="187" w:name="_Hlt26955070"/>
      <w:bookmarkStart w:id="188" w:name="_Hlt26671380"/>
      <w:bookmarkStart w:id="189" w:name="_格式3__银行出具的资信证明"/>
      <w:r>
        <w:rPr>
          <w:rFonts w:ascii="Times New Roman" w:hAnsi="Times New Roman"/>
          <w:color w:val="000000"/>
          <w:u w:val="single"/>
        </w:rPr>
        <w:t xml:space="preserve">                                         </w:t>
      </w:r>
    </w:p>
    <w:p w14:paraId="13E753C9">
      <w:pPr>
        <w:pStyle w:val="8"/>
        <w:spacing w:beforeAutospacing="0" w:afterAutospacing="0"/>
        <w:ind w:firstLine="420"/>
        <w:jc w:val="both"/>
      </w:pPr>
      <w:r>
        <w:t> </w:t>
      </w:r>
    </w:p>
    <w:p w14:paraId="2C861020">
      <w:pPr>
        <w:pStyle w:val="8"/>
        <w:spacing w:beforeAutospacing="0" w:afterAutospacing="0"/>
        <w:jc w:val="both"/>
      </w:pPr>
      <w:r>
        <w:t> </w:t>
      </w:r>
    </w:p>
    <w:p w14:paraId="2E2567C1">
      <w:pPr>
        <w:pStyle w:val="8"/>
        <w:spacing w:beforeAutospacing="0" w:afterAutospacing="0" w:line="0" w:lineRule="atLeast"/>
        <w:jc w:val="both"/>
      </w:pPr>
      <w:r>
        <w:t> </w:t>
      </w:r>
    </w:p>
    <w:p w14:paraId="6C0A1F91">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备注 我公司（单位）委托进行现场演示的人员为（本项目如果无现场演示要求，请项目经办人自行删除该备注）</w:t>
      </w:r>
    </w:p>
    <w:p w14:paraId="5B69F051">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        （人员姓名），身份证号          。</w:t>
      </w:r>
    </w:p>
    <w:p w14:paraId="0A3529F9">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        ……</w:t>
      </w:r>
    </w:p>
    <w:p w14:paraId="3497E111">
      <w:pPr>
        <w:pStyle w:val="8"/>
        <w:spacing w:beforeAutospacing="0" w:afterAutospacing="0" w:line="0" w:lineRule="atLeast"/>
        <w:jc w:val="both"/>
      </w:pPr>
      <w:r>
        <w:t> </w:t>
      </w:r>
    </w:p>
    <w:p w14:paraId="41A21813">
      <w:pPr>
        <w:pStyle w:val="8"/>
        <w:keepNext/>
        <w:keepLines/>
        <w:spacing w:before="260" w:beforeAutospacing="0" w:after="260" w:afterAutospacing="0" w:line="415" w:lineRule="auto"/>
        <w:ind w:firstLine="3390"/>
        <w:jc w:val="both"/>
        <w:rPr>
          <w:rFonts w:ascii="黑体" w:hAnsi="宋体" w:eastAsia="黑体" w:cs="黑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02827503">
      <w:pPr>
        <w:pStyle w:val="8"/>
        <w:spacing w:beforeAutospacing="0" w:afterAutospacing="0" w:line="0" w:lineRule="atLeast"/>
        <w:rPr>
          <w:rFonts w:eastAsia="宋体"/>
        </w:rPr>
      </w:pPr>
      <w:r>
        <w:rPr>
          <w:rFonts w:hint="eastAsia" w:ascii="宋体" w:hAnsi="宋体" w:eastAsia="宋体" w:cs="宋体"/>
          <w:color w:val="000000"/>
        </w:rPr>
        <w:t>致：盐城市政府采购人</w:t>
      </w:r>
    </w:p>
    <w:p w14:paraId="61CF9AFA">
      <w:pPr>
        <w:pStyle w:val="8"/>
        <w:spacing w:beforeAutospacing="0" w:afterAutospacing="0" w:line="0" w:lineRule="atLeast"/>
        <w:ind w:firstLine="480"/>
      </w:pPr>
      <w:r>
        <w:rPr>
          <w:rFonts w:hint="eastAsia" w:ascii="宋体" w:hAnsi="宋体" w:eastAsia="宋体" w:cs="宋体"/>
          <w:color w:val="000000"/>
        </w:rPr>
        <w:t>根据贵方的</w:t>
      </w:r>
      <w:r>
        <w:rPr>
          <w:rFonts w:hint="eastAsia" w:ascii="宋体" w:hAnsi="宋体" w:eastAsia="宋体" w:cs="宋体"/>
          <w:color w:val="000000"/>
          <w:u w:val="single"/>
        </w:rPr>
        <w:t xml:space="preserve">           </w:t>
      </w:r>
      <w:r>
        <w:rPr>
          <w:rFonts w:hint="eastAsia" w:ascii="宋体" w:hAnsi="宋体" w:eastAsia="宋体" w:cs="宋体"/>
          <w:color w:val="000000"/>
        </w:rPr>
        <w:t>号招标文件，正式授权下述签字人______(姓名)代表我方______________（投标人的名称），全权处理本次项目投标的有关事宜。</w:t>
      </w:r>
    </w:p>
    <w:p w14:paraId="74794D13">
      <w:pPr>
        <w:pStyle w:val="8"/>
        <w:spacing w:beforeAutospacing="0" w:afterAutospacing="0" w:line="0" w:lineRule="atLeast"/>
        <w:ind w:firstLine="480"/>
      </w:pPr>
      <w:r>
        <w:rPr>
          <w:rFonts w:hint="eastAsia" w:ascii="宋体" w:hAnsi="宋体" w:eastAsia="宋体" w:cs="宋体"/>
          <w:color w:val="000000"/>
        </w:rPr>
        <w:t>据此函，__________签字人兹宣布同意如下：</w:t>
      </w:r>
    </w:p>
    <w:p w14:paraId="6C8EC417">
      <w:pPr>
        <w:pStyle w:val="8"/>
        <w:spacing w:beforeAutospacing="0" w:afterAutospacing="0" w:line="0" w:lineRule="atLeast"/>
        <w:ind w:firstLine="480"/>
      </w:pPr>
      <w:r>
        <w:rPr>
          <w:rFonts w:hint="eastAsia" w:ascii="宋体" w:hAnsi="宋体" w:eastAsia="宋体" w:cs="宋体"/>
          <w:color w:val="000000"/>
        </w:rPr>
        <w:t>1.按招标文件规定的各项要求，向买方提供所需服务（包含与服务相关的货物）。</w:t>
      </w:r>
    </w:p>
    <w:p w14:paraId="3C059FAA">
      <w:pPr>
        <w:pStyle w:val="8"/>
        <w:spacing w:beforeAutospacing="0" w:afterAutospacing="0" w:line="0" w:lineRule="atLeast"/>
        <w:ind w:firstLine="480"/>
      </w:pPr>
      <w:r>
        <w:rPr>
          <w:rFonts w:hint="eastAsia" w:ascii="宋体" w:hAnsi="宋体" w:eastAsia="宋体" w:cs="宋体"/>
          <w:color w:val="000000"/>
        </w:rPr>
        <w:t>2.我们完全理解贵方不一定将合同授予最低报价的投标人。</w:t>
      </w:r>
    </w:p>
    <w:p w14:paraId="3ECB1998">
      <w:pPr>
        <w:pStyle w:val="8"/>
        <w:spacing w:beforeAutospacing="0" w:afterAutospacing="0" w:line="0" w:lineRule="atLeas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10A1B816">
      <w:pPr>
        <w:pStyle w:val="8"/>
        <w:spacing w:beforeAutospacing="0" w:afterAutospacing="0" w:line="0" w:lineRule="atLeast"/>
        <w:ind w:firstLine="480"/>
      </w:pPr>
      <w:r>
        <w:rPr>
          <w:rFonts w:hint="eastAsia" w:ascii="宋体" w:hAnsi="宋体" w:eastAsia="宋体" w:cs="宋体"/>
          <w:color w:val="000000"/>
        </w:rPr>
        <w:t>4.我们同意从规定的开标日期起遵循本投标文件，并在规定的投标有效期期满之前均具有约束力。</w:t>
      </w:r>
    </w:p>
    <w:p w14:paraId="271FCBA2">
      <w:pPr>
        <w:pStyle w:val="8"/>
        <w:spacing w:beforeAutospacing="0" w:afterAutospacing="0" w:line="0" w:lineRule="atLeas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09D3BCB4">
      <w:pPr>
        <w:pStyle w:val="8"/>
        <w:spacing w:beforeAutospacing="0" w:afterAutospacing="0" w:line="0" w:lineRule="atLeas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1AFAF75F">
      <w:pPr>
        <w:pStyle w:val="8"/>
        <w:spacing w:beforeAutospacing="0" w:afterAutospacing="0" w:line="0" w:lineRule="atLeast"/>
        <w:ind w:firstLine="480"/>
      </w:pPr>
      <w:r>
        <w:rPr>
          <w:rFonts w:hint="eastAsia" w:ascii="宋体" w:hAnsi="宋体" w:eastAsia="宋体" w:cs="宋体"/>
          <w:color w:val="000000"/>
        </w:rPr>
        <w:t>7.与本投标有关的正式通讯地址为：</w:t>
      </w:r>
    </w:p>
    <w:p w14:paraId="28F0B0E9">
      <w:pPr>
        <w:pStyle w:val="8"/>
        <w:spacing w:beforeAutospacing="0" w:afterAutospacing="0" w:line="0" w:lineRule="atLeast"/>
        <w:ind w:left="420" w:firstLine="480"/>
      </w:pPr>
      <w:r>
        <w:rPr>
          <w:rFonts w:hint="eastAsia" w:ascii="宋体" w:hAnsi="宋体" w:eastAsia="宋体" w:cs="宋体"/>
          <w:color w:val="000000"/>
        </w:rPr>
        <w:t>地          址：</w:t>
      </w:r>
    </w:p>
    <w:p w14:paraId="34BF935E">
      <w:pPr>
        <w:pStyle w:val="8"/>
        <w:spacing w:beforeAutospacing="0" w:afterAutospacing="0" w:line="0" w:lineRule="atLeast"/>
        <w:ind w:left="420" w:firstLine="480"/>
      </w:pPr>
      <w:r>
        <w:rPr>
          <w:rFonts w:hint="eastAsia" w:ascii="宋体" w:hAnsi="宋体" w:eastAsia="宋体" w:cs="宋体"/>
          <w:color w:val="000000"/>
        </w:rPr>
        <w:t>邮          编：</w:t>
      </w:r>
    </w:p>
    <w:p w14:paraId="348543E2">
      <w:pPr>
        <w:pStyle w:val="8"/>
        <w:spacing w:beforeAutospacing="0" w:afterAutospacing="0" w:line="0" w:lineRule="atLeast"/>
        <w:ind w:left="420" w:firstLine="480"/>
      </w:pPr>
      <w:r>
        <w:rPr>
          <w:rFonts w:hint="eastAsia" w:ascii="宋体" w:hAnsi="宋体" w:eastAsia="宋体" w:cs="宋体"/>
          <w:color w:val="000000"/>
        </w:rPr>
        <w:t>电          话：</w:t>
      </w:r>
    </w:p>
    <w:p w14:paraId="7789FA8F">
      <w:pPr>
        <w:pStyle w:val="8"/>
        <w:spacing w:beforeAutospacing="0" w:afterAutospacing="0" w:line="0" w:lineRule="atLeast"/>
        <w:ind w:left="420" w:firstLine="480"/>
      </w:pPr>
      <w:r>
        <w:rPr>
          <w:rFonts w:hint="eastAsia" w:ascii="宋体" w:hAnsi="宋体" w:eastAsia="宋体" w:cs="宋体"/>
          <w:color w:val="000000"/>
        </w:rPr>
        <w:t>传          真：</w:t>
      </w:r>
    </w:p>
    <w:p w14:paraId="035E2867">
      <w:pPr>
        <w:pStyle w:val="8"/>
        <w:spacing w:beforeAutospacing="0" w:afterAutospacing="0" w:line="0" w:lineRule="atLeast"/>
        <w:ind w:left="420" w:firstLine="480"/>
      </w:pPr>
      <w:r>
        <w:rPr>
          <w:rFonts w:hint="eastAsia" w:ascii="宋体" w:hAnsi="宋体" w:eastAsia="宋体" w:cs="宋体"/>
          <w:color w:val="000000"/>
        </w:rPr>
        <w:t>投标人开户行：</w:t>
      </w:r>
    </w:p>
    <w:p w14:paraId="4E40B2FC">
      <w:pPr>
        <w:pStyle w:val="8"/>
        <w:spacing w:beforeAutospacing="0" w:afterAutospacing="0" w:line="0" w:lineRule="atLeast"/>
        <w:ind w:left="420" w:firstLine="480"/>
      </w:pPr>
      <w:r>
        <w:rPr>
          <w:rFonts w:hint="eastAsia" w:ascii="宋体" w:hAnsi="宋体" w:eastAsia="宋体" w:cs="宋体"/>
          <w:color w:val="000000"/>
        </w:rPr>
        <w:t xml:space="preserve">账          号： </w:t>
      </w:r>
    </w:p>
    <w:p w14:paraId="231F56E6">
      <w:pPr>
        <w:pStyle w:val="8"/>
        <w:spacing w:beforeAutospacing="0" w:afterAutospacing="0" w:line="0" w:lineRule="atLeast"/>
        <w:ind w:left="420" w:firstLine="480"/>
      </w:pPr>
      <w:r>
        <w:rPr>
          <w:rFonts w:hint="eastAsia" w:ascii="宋体" w:hAnsi="宋体" w:eastAsia="宋体" w:cs="宋体"/>
          <w:color w:val="000000"/>
        </w:rPr>
        <w:t>日           期：________年____月____日</w:t>
      </w:r>
    </w:p>
    <w:p w14:paraId="045577DF">
      <w:pPr>
        <w:pStyle w:val="8"/>
        <w:spacing w:beforeAutospacing="0" w:afterAutospacing="0" w:line="0" w:lineRule="atLeast"/>
        <w:ind w:firstLine="240"/>
        <w:jc w:val="center"/>
      </w:pPr>
      <w:r>
        <w:t> </w:t>
      </w:r>
    </w:p>
    <w:p w14:paraId="5DE44FF8">
      <w:pPr>
        <w:pStyle w:val="8"/>
        <w:spacing w:beforeAutospacing="0" w:afterAutospacing="0" w:line="0" w:lineRule="atLeast"/>
        <w:ind w:firstLine="240"/>
        <w:jc w:val="center"/>
      </w:pPr>
      <w:r>
        <w:t> </w:t>
      </w:r>
    </w:p>
    <w:p w14:paraId="1ADCD282">
      <w:pPr>
        <w:pStyle w:val="8"/>
        <w:spacing w:beforeAutospacing="0" w:afterAutospacing="0" w:line="0" w:lineRule="atLeast"/>
        <w:ind w:firstLine="240"/>
        <w:jc w:val="center"/>
      </w:pPr>
      <w:r>
        <w:t> </w:t>
      </w:r>
    </w:p>
    <w:p w14:paraId="248490E8">
      <w:pPr>
        <w:pStyle w:val="8"/>
        <w:spacing w:beforeAutospacing="0" w:afterAutospacing="0" w:line="0" w:lineRule="atLeast"/>
        <w:ind w:firstLine="240"/>
        <w:jc w:val="center"/>
      </w:pPr>
      <w:r>
        <w:t> </w:t>
      </w:r>
    </w:p>
    <w:p w14:paraId="0CB7D94B">
      <w:pPr>
        <w:pStyle w:val="8"/>
        <w:spacing w:beforeAutospacing="0" w:afterAutospacing="0" w:line="0" w:lineRule="atLeast"/>
        <w:ind w:firstLine="240"/>
        <w:jc w:val="center"/>
      </w:pPr>
      <w:r>
        <w:t> </w:t>
      </w:r>
    </w:p>
    <w:p w14:paraId="0417D0E4">
      <w:pPr>
        <w:pStyle w:val="8"/>
        <w:spacing w:beforeAutospacing="0" w:afterAutospacing="0" w:line="0" w:lineRule="atLeast"/>
        <w:ind w:firstLine="240"/>
        <w:jc w:val="center"/>
      </w:pPr>
    </w:p>
    <w:p w14:paraId="20B5689D">
      <w:pPr>
        <w:pStyle w:val="8"/>
        <w:spacing w:beforeAutospacing="0" w:afterAutospacing="0" w:line="0" w:lineRule="atLeast"/>
        <w:ind w:firstLine="240"/>
        <w:jc w:val="center"/>
      </w:pPr>
    </w:p>
    <w:p w14:paraId="6A7B01D6">
      <w:pPr>
        <w:pStyle w:val="8"/>
        <w:spacing w:beforeAutospacing="0" w:afterAutospacing="0" w:line="0" w:lineRule="atLeast"/>
        <w:ind w:firstLine="240"/>
        <w:jc w:val="center"/>
      </w:pPr>
    </w:p>
    <w:p w14:paraId="0C024E6E">
      <w:pPr>
        <w:pStyle w:val="8"/>
        <w:spacing w:beforeAutospacing="0" w:afterAutospacing="0" w:line="0" w:lineRule="atLeast"/>
        <w:ind w:firstLine="240"/>
        <w:jc w:val="center"/>
      </w:pPr>
    </w:p>
    <w:p w14:paraId="4F8783B6">
      <w:pPr>
        <w:pStyle w:val="8"/>
        <w:spacing w:beforeAutospacing="0" w:afterAutospacing="0" w:line="0" w:lineRule="atLeast"/>
        <w:ind w:firstLine="240"/>
        <w:jc w:val="center"/>
      </w:pPr>
    </w:p>
    <w:p w14:paraId="1CD4CE56">
      <w:pPr>
        <w:pStyle w:val="8"/>
        <w:spacing w:beforeAutospacing="0" w:afterAutospacing="0" w:line="0" w:lineRule="atLeast"/>
        <w:ind w:firstLine="240"/>
        <w:jc w:val="center"/>
      </w:pPr>
    </w:p>
    <w:p w14:paraId="2AFC7E54">
      <w:pPr>
        <w:pStyle w:val="8"/>
        <w:spacing w:beforeAutospacing="0" w:afterAutospacing="0" w:line="0" w:lineRule="atLeast"/>
        <w:ind w:firstLine="240"/>
        <w:jc w:val="center"/>
      </w:pPr>
    </w:p>
    <w:p w14:paraId="33872220">
      <w:pPr>
        <w:pStyle w:val="8"/>
        <w:spacing w:beforeAutospacing="0" w:afterAutospacing="0" w:line="0" w:lineRule="atLeast"/>
        <w:ind w:firstLine="240"/>
        <w:jc w:val="center"/>
      </w:pPr>
    </w:p>
    <w:p w14:paraId="6234F5A6">
      <w:pPr>
        <w:pStyle w:val="8"/>
        <w:spacing w:beforeAutospacing="0" w:afterAutospacing="0" w:line="0" w:lineRule="atLeast"/>
        <w:ind w:firstLine="240"/>
        <w:jc w:val="center"/>
      </w:pPr>
    </w:p>
    <w:p w14:paraId="24C0BAD9">
      <w:pPr>
        <w:pStyle w:val="8"/>
        <w:spacing w:beforeAutospacing="0" w:afterAutospacing="0" w:line="0" w:lineRule="atLeast"/>
        <w:ind w:firstLine="240"/>
        <w:jc w:val="center"/>
      </w:pPr>
    </w:p>
    <w:p w14:paraId="10CCCCA2">
      <w:pPr>
        <w:pStyle w:val="8"/>
        <w:spacing w:beforeAutospacing="0" w:afterAutospacing="0" w:line="0" w:lineRule="atLeast"/>
        <w:ind w:firstLine="240"/>
        <w:jc w:val="center"/>
      </w:pPr>
    </w:p>
    <w:p w14:paraId="1BD3265D">
      <w:pPr>
        <w:pStyle w:val="8"/>
        <w:spacing w:beforeAutospacing="0" w:afterAutospacing="0" w:line="0" w:lineRule="atLeast"/>
        <w:ind w:firstLine="240"/>
        <w:jc w:val="center"/>
      </w:pPr>
    </w:p>
    <w:p w14:paraId="0E738A84">
      <w:pPr>
        <w:pStyle w:val="8"/>
        <w:spacing w:beforeAutospacing="0" w:afterAutospacing="0" w:line="0" w:lineRule="atLeast"/>
        <w:ind w:firstLine="240"/>
        <w:jc w:val="center"/>
      </w:pPr>
    </w:p>
    <w:p w14:paraId="01959D6F">
      <w:pPr>
        <w:pStyle w:val="8"/>
        <w:spacing w:beforeAutospacing="0" w:afterAutospacing="0" w:line="0" w:lineRule="atLeast"/>
        <w:ind w:firstLine="240"/>
        <w:jc w:val="center"/>
      </w:pPr>
    </w:p>
    <w:p w14:paraId="63C556A2">
      <w:pPr>
        <w:pStyle w:val="8"/>
        <w:spacing w:beforeAutospacing="0" w:afterAutospacing="0" w:line="0" w:lineRule="atLeast"/>
        <w:ind w:firstLine="240"/>
        <w:jc w:val="center"/>
      </w:pPr>
    </w:p>
    <w:p w14:paraId="24995E3F">
      <w:pPr>
        <w:pStyle w:val="8"/>
        <w:spacing w:beforeAutospacing="0" w:afterAutospacing="0" w:line="0" w:lineRule="atLeast"/>
        <w:ind w:firstLine="240"/>
        <w:jc w:val="center"/>
      </w:pPr>
    </w:p>
    <w:p w14:paraId="2AC14A37">
      <w:pPr>
        <w:pStyle w:val="8"/>
        <w:spacing w:beforeAutospacing="0" w:afterAutospacing="0" w:line="0" w:lineRule="atLeast"/>
        <w:jc w:val="center"/>
      </w:pPr>
      <w:r>
        <w:t> </w:t>
      </w:r>
    </w:p>
    <w:p w14:paraId="5448E3B7">
      <w:pPr>
        <w:pStyle w:val="8"/>
        <w:spacing w:beforeAutospacing="0" w:afterAutospacing="0" w:line="0" w:lineRule="atLeast"/>
        <w:jc w:val="center"/>
      </w:pPr>
      <w:r>
        <w:rPr>
          <w:rFonts w:hint="eastAsia" w:ascii="黑体" w:hAnsi="宋体" w:eastAsia="黑体" w:cs="黑体"/>
          <w:b/>
          <w:sz w:val="32"/>
          <w:szCs w:val="32"/>
        </w:rPr>
        <w:t>九、中小企业声明函（服务）</w:t>
      </w:r>
    </w:p>
    <w:p w14:paraId="0B54C51E">
      <w:pPr>
        <w:spacing w:line="500" w:lineRule="exact"/>
        <w:ind w:firstLine="480"/>
        <w:rPr>
          <w:sz w:val="24"/>
        </w:rPr>
      </w:pPr>
      <w:r>
        <w:rPr>
          <w:rFonts w:hint="eastAsia"/>
          <w:sz w:val="24"/>
        </w:rPr>
        <w:t>本公司（联合体）郑重声明，根据《政府采购促进中小企业发展管理办法》（财库﹝2020﹞46 号）的规定，本公司（联合体）参加盐城市政府采购人组织的</w:t>
      </w:r>
      <w:r>
        <w:rPr>
          <w:rFonts w:hint="eastAsia"/>
          <w:i/>
          <w:iCs/>
          <w:sz w:val="24"/>
          <w:u w:val="single"/>
        </w:rPr>
        <w:t>（单位名称）</w:t>
      </w:r>
      <w:r>
        <w:rPr>
          <w:rFonts w:hint="eastAsia"/>
          <w:sz w:val="24"/>
          <w:szCs w:val="20"/>
        </w:rPr>
        <w:t>，</w:t>
      </w:r>
      <w:r>
        <w:rPr>
          <w:rFonts w:hint="eastAsia"/>
          <w:sz w:val="24"/>
        </w:rPr>
        <w:t>采购编号为</w:t>
      </w:r>
      <w:r>
        <w:rPr>
          <w:rFonts w:hint="eastAsia"/>
          <w:sz w:val="24"/>
          <w:u w:val="single"/>
        </w:rPr>
        <w:t xml:space="preserve">     </w:t>
      </w:r>
      <w:r>
        <w:rPr>
          <w:rFonts w:hint="eastAsia"/>
          <w:sz w:val="24"/>
        </w:rPr>
        <w:t>的</w:t>
      </w:r>
      <w:r>
        <w:rPr>
          <w:rFonts w:hint="eastAsia"/>
          <w:i/>
          <w:iCs/>
          <w:sz w:val="24"/>
          <w:u w:val="single"/>
        </w:rPr>
        <w:t>（项目名称）</w:t>
      </w:r>
      <w:r>
        <w:rPr>
          <w:rFonts w:hint="eastAsia"/>
          <w:sz w:val="24"/>
        </w:rPr>
        <w:t>的采购活动，服务全部由符合政策要求的中小企业承接。相关企业（含联合体中的中小企业、签订分包意向协议的中小企业）的具体情况如下：</w:t>
      </w:r>
    </w:p>
    <w:p w14:paraId="4E1AB703">
      <w:pPr>
        <w:numPr>
          <w:ilvl w:val="0"/>
          <w:numId w:val="1"/>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71EBC0E2">
      <w:pPr>
        <w:numPr>
          <w:ilvl w:val="0"/>
          <w:numId w:val="1"/>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7C539349">
      <w:pPr>
        <w:spacing w:line="500" w:lineRule="exact"/>
        <w:ind w:firstLine="480" w:firstLineChars="200"/>
        <w:rPr>
          <w:sz w:val="24"/>
        </w:rPr>
      </w:pPr>
      <w:r>
        <w:rPr>
          <w:rFonts w:hint="eastAsia"/>
          <w:sz w:val="24"/>
        </w:rPr>
        <w:t>……</w:t>
      </w:r>
    </w:p>
    <w:p w14:paraId="2D465B05">
      <w:pPr>
        <w:spacing w:line="500" w:lineRule="exact"/>
        <w:ind w:firstLine="480" w:firstLineChars="200"/>
        <w:rPr>
          <w:sz w:val="24"/>
        </w:rPr>
      </w:pPr>
      <w:r>
        <w:rPr>
          <w:rFonts w:hint="eastAsia"/>
          <w:sz w:val="24"/>
        </w:rPr>
        <w:t>以上企业，不属于大企业的分支机构，不存在控股股东为大企业的情形，也不存在与大企业的负责人为同一人的情形。</w:t>
      </w:r>
    </w:p>
    <w:p w14:paraId="7F1EA043">
      <w:pPr>
        <w:spacing w:line="500" w:lineRule="exact"/>
        <w:ind w:firstLine="480" w:firstLineChars="200"/>
        <w:rPr>
          <w:sz w:val="24"/>
        </w:rPr>
      </w:pPr>
      <w:r>
        <w:rPr>
          <w:rFonts w:hint="eastAsia"/>
          <w:sz w:val="24"/>
        </w:rPr>
        <w:t>本企业对上述声明内容的真实性负责。如有虚假，将依法承担相应责任。</w:t>
      </w:r>
    </w:p>
    <w:p w14:paraId="54F71530">
      <w:pPr>
        <w:pStyle w:val="8"/>
        <w:spacing w:beforeAutospacing="0" w:afterAutospacing="0" w:line="0" w:lineRule="atLeast"/>
        <w:ind w:right="720"/>
        <w:jc w:val="both"/>
      </w:pPr>
      <w:r>
        <w:t> </w:t>
      </w:r>
    </w:p>
    <w:p w14:paraId="25F4AD2D">
      <w:pPr>
        <w:pStyle w:val="8"/>
        <w:spacing w:beforeAutospacing="0" w:afterAutospacing="0" w:line="0" w:lineRule="atLeast"/>
        <w:ind w:right="180" w:firstLine="360"/>
        <w:jc w:val="right"/>
      </w:pPr>
      <w:r>
        <w:rPr>
          <w:rFonts w:hint="eastAsia" w:ascii="宋体" w:hAnsi="宋体" w:eastAsia="宋体" w:cs="宋体"/>
        </w:rPr>
        <w:t>企业名称（加盖CA电子公章）：</w:t>
      </w:r>
    </w:p>
    <w:p w14:paraId="36A46FEA">
      <w:pPr>
        <w:pStyle w:val="8"/>
        <w:spacing w:beforeAutospacing="0" w:afterAutospacing="0" w:line="0" w:lineRule="atLeast"/>
        <w:ind w:right="480" w:firstLine="5400"/>
        <w:jc w:val="both"/>
      </w:pPr>
      <w:r>
        <w:rPr>
          <w:rFonts w:hint="eastAsia" w:ascii="宋体" w:hAnsi="宋体" w:eastAsia="宋体" w:cs="宋体"/>
        </w:rPr>
        <w:t>日  期：</w:t>
      </w:r>
    </w:p>
    <w:p w14:paraId="5D66324E">
      <w:pPr>
        <w:pStyle w:val="8"/>
        <w:spacing w:beforeAutospacing="0" w:afterAutospacing="0" w:line="0" w:lineRule="atLeast"/>
        <w:ind w:firstLine="240"/>
        <w:jc w:val="both"/>
      </w:pPr>
      <w:r>
        <w:t> </w:t>
      </w:r>
    </w:p>
    <w:p w14:paraId="34A4D36C">
      <w:pPr>
        <w:pStyle w:val="8"/>
        <w:spacing w:beforeAutospacing="0" w:afterAutospacing="0" w:line="0" w:lineRule="atLeast"/>
        <w:ind w:firstLine="480"/>
        <w:jc w:val="both"/>
      </w:pPr>
      <w:r>
        <w:rPr>
          <w:rFonts w:hint="eastAsia" w:ascii="宋体" w:hAnsi="宋体" w:eastAsia="宋体" w:cs="宋体"/>
        </w:rPr>
        <w:t>备注1：从业人员、营业收入、资产总额填报上一年度数据，无上一年度数据的新成立企业可不填报。</w:t>
      </w:r>
    </w:p>
    <w:p w14:paraId="324F9E17">
      <w:pPr>
        <w:pStyle w:val="8"/>
        <w:spacing w:beforeAutospacing="0" w:afterAutospacing="0" w:line="0" w:lineRule="atLeast"/>
        <w:ind w:firstLine="480"/>
        <w:jc w:val="both"/>
      </w:pPr>
      <w:r>
        <w:rPr>
          <w:rFonts w:hint="eastAsia" w:ascii="宋体" w:hAnsi="宋体" w:eastAsia="宋体" w:cs="宋体"/>
        </w:rPr>
        <w:t>备注2：供应商如不提供此声明函，价格将不做相应扣除（如项目全面面向中小企业，则资格审查不通过）。</w:t>
      </w:r>
    </w:p>
    <w:p w14:paraId="3370B99D">
      <w:pPr>
        <w:pStyle w:val="8"/>
        <w:numPr>
          <w:ilvl w:val="0"/>
          <w:numId w:val="2"/>
        </w:numPr>
        <w:spacing w:beforeAutospacing="0" w:afterAutospacing="0" w:line="0" w:lineRule="atLeast"/>
        <w:ind w:left="2891" w:leftChars="0" w:firstLine="0" w:firstLineChars="0"/>
        <w:jc w:val="both"/>
        <w:rPr>
          <w:rFonts w:hint="eastAsia" w:ascii="黑体" w:hAnsi="宋体" w:eastAsia="黑体" w:cs="黑体"/>
          <w:b/>
          <w:color w:val="000000"/>
          <w:sz w:val="32"/>
          <w:szCs w:val="32"/>
        </w:rPr>
      </w:pPr>
      <w:r>
        <w:rPr>
          <w:rFonts w:hint="eastAsia" w:ascii="黑体" w:hAnsi="宋体" w:eastAsia="黑体" w:cs="黑体"/>
          <w:b/>
          <w:sz w:val="32"/>
          <w:szCs w:val="32"/>
        </w:rPr>
        <w:br w:type="page"/>
      </w:r>
      <w:r>
        <w:rPr>
          <w:rFonts w:hint="eastAsia" w:ascii="黑体" w:hAnsi="宋体" w:eastAsia="黑体" w:cs="黑体"/>
          <w:b/>
          <w:color w:val="000000"/>
          <w:sz w:val="32"/>
          <w:szCs w:val="32"/>
        </w:rPr>
        <w:t>残疾人福利性单位声明函</w:t>
      </w:r>
    </w:p>
    <w:p w14:paraId="67B085D4">
      <w:pPr>
        <w:pStyle w:val="8"/>
        <w:numPr>
          <w:ilvl w:val="0"/>
          <w:numId w:val="0"/>
        </w:numPr>
        <w:spacing w:beforeAutospacing="0" w:afterAutospacing="0" w:line="0" w:lineRule="atLeast"/>
        <w:ind w:left="2891" w:leftChars="0"/>
        <w:jc w:val="both"/>
        <w:rPr>
          <w:rFonts w:hint="eastAsia" w:ascii="黑体" w:hAnsi="宋体" w:eastAsia="黑体" w:cs="黑体"/>
          <w:b/>
          <w:color w:val="000000"/>
          <w:sz w:val="32"/>
          <w:szCs w:val="32"/>
        </w:rPr>
      </w:pPr>
    </w:p>
    <w:p w14:paraId="068D8D09">
      <w:pPr>
        <w:pStyle w:val="8"/>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项目（分包号：**）采购活动由本单位提供服务。</w:t>
      </w:r>
    </w:p>
    <w:p w14:paraId="7F68534E">
      <w:pPr>
        <w:pStyle w:val="8"/>
        <w:spacing w:beforeAutospacing="0" w:afterAutospacing="0" w:line="0" w:lineRule="atLeast"/>
        <w:ind w:firstLine="480"/>
        <w:jc w:val="both"/>
      </w:pPr>
      <w:r>
        <w:rPr>
          <w:rFonts w:hint="eastAsia" w:ascii="宋体" w:hAnsi="宋体" w:eastAsia="宋体" w:cs="宋体"/>
          <w:color w:val="000000"/>
        </w:rPr>
        <w:t>本单位对上述声明的真实性负责。如有虚假，将依法承担相应责任。</w:t>
      </w:r>
    </w:p>
    <w:p w14:paraId="6050CAA6">
      <w:pPr>
        <w:pStyle w:val="8"/>
        <w:spacing w:beforeAutospacing="0" w:afterAutospacing="0" w:line="0" w:lineRule="atLeast"/>
        <w:ind w:firstLine="480"/>
        <w:jc w:val="both"/>
      </w:pPr>
      <w:r>
        <w:t> </w:t>
      </w:r>
    </w:p>
    <w:p w14:paraId="167B3120">
      <w:pPr>
        <w:pStyle w:val="8"/>
        <w:spacing w:beforeAutospacing="0" w:afterAutospacing="0" w:line="0" w:lineRule="atLeast"/>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0F1864E8">
      <w:pPr>
        <w:pStyle w:val="8"/>
        <w:spacing w:beforeAutospacing="0" w:afterAutospacing="0" w:line="0" w:lineRule="atLeast"/>
        <w:ind w:firstLine="480"/>
        <w:jc w:val="both"/>
      </w:pPr>
      <w:r>
        <w:rPr>
          <w:rFonts w:hint="eastAsia" w:ascii="宋体" w:hAnsi="宋体" w:eastAsia="宋体" w:cs="宋体"/>
          <w:color w:val="000000"/>
        </w:rPr>
        <w:t>2、中标人为残疾人福利单位的，此声明函将随中标结果同时公告，接受社会监督</w:t>
      </w:r>
    </w:p>
    <w:p w14:paraId="35E3C850">
      <w:pPr>
        <w:pStyle w:val="8"/>
        <w:spacing w:beforeAutospacing="0" w:afterAutospacing="0" w:line="0" w:lineRule="atLeast"/>
        <w:ind w:firstLine="624"/>
        <w:jc w:val="both"/>
      </w:pPr>
      <w:r>
        <w:t> </w:t>
      </w:r>
    </w:p>
    <w:p w14:paraId="7E886918">
      <w:pPr>
        <w:pStyle w:val="8"/>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5234BB39">
      <w:pPr>
        <w:pStyle w:val="8"/>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4BFF5D23">
      <w:pPr>
        <w:pStyle w:val="8"/>
        <w:spacing w:beforeAutospacing="0" w:afterAutospacing="0" w:line="0" w:lineRule="atLeast"/>
        <w:jc w:val="center"/>
      </w:pPr>
      <w:r>
        <w:t> </w:t>
      </w:r>
    </w:p>
    <w:p w14:paraId="1EA4E2FB">
      <w:pPr>
        <w:pStyle w:val="8"/>
        <w:spacing w:beforeAutospacing="0" w:afterAutospacing="0" w:line="0" w:lineRule="atLeast"/>
        <w:jc w:val="center"/>
      </w:pPr>
      <w:r>
        <w:t> </w:t>
      </w:r>
    </w:p>
    <w:p w14:paraId="36A473CD">
      <w:pPr>
        <w:pStyle w:val="8"/>
        <w:spacing w:beforeAutospacing="0" w:afterAutospacing="0" w:line="0" w:lineRule="atLeast"/>
        <w:jc w:val="center"/>
      </w:pPr>
      <w:r>
        <w:t> </w:t>
      </w:r>
    </w:p>
    <w:p w14:paraId="5DFB574A">
      <w:pPr>
        <w:pStyle w:val="8"/>
        <w:spacing w:beforeAutospacing="0" w:afterAutospacing="0" w:line="0" w:lineRule="atLeast"/>
        <w:jc w:val="center"/>
      </w:pPr>
      <w:r>
        <w:t> </w:t>
      </w:r>
    </w:p>
    <w:p w14:paraId="0E50873B">
      <w:pPr>
        <w:pStyle w:val="8"/>
        <w:spacing w:beforeAutospacing="0" w:afterAutospacing="0" w:line="0" w:lineRule="atLeast"/>
        <w:jc w:val="center"/>
      </w:pPr>
      <w:r>
        <w:t> </w:t>
      </w:r>
    </w:p>
    <w:p w14:paraId="426091A3">
      <w:pPr>
        <w:pStyle w:val="8"/>
        <w:spacing w:beforeAutospacing="0" w:afterAutospacing="0" w:line="0" w:lineRule="atLeast"/>
        <w:jc w:val="center"/>
      </w:pPr>
      <w:r>
        <w:t> </w:t>
      </w:r>
    </w:p>
    <w:p w14:paraId="0DC004B1">
      <w:pPr>
        <w:pStyle w:val="8"/>
        <w:spacing w:beforeAutospacing="0" w:afterAutospacing="0" w:line="0" w:lineRule="atLeast"/>
        <w:jc w:val="center"/>
      </w:pPr>
      <w:r>
        <w:t> </w:t>
      </w:r>
    </w:p>
    <w:p w14:paraId="1A80B20D">
      <w:pPr>
        <w:pStyle w:val="8"/>
        <w:spacing w:beforeAutospacing="0" w:afterAutospacing="0" w:line="0" w:lineRule="atLeast"/>
        <w:jc w:val="center"/>
      </w:pPr>
      <w:r>
        <w:t> </w:t>
      </w:r>
    </w:p>
    <w:p w14:paraId="563B5598">
      <w:pPr>
        <w:pStyle w:val="8"/>
        <w:spacing w:beforeAutospacing="0" w:afterAutospacing="0" w:line="0" w:lineRule="atLeast"/>
        <w:jc w:val="center"/>
      </w:pPr>
    </w:p>
    <w:p w14:paraId="3D4F7CE3">
      <w:pPr>
        <w:pStyle w:val="8"/>
        <w:spacing w:beforeAutospacing="0" w:afterAutospacing="0" w:line="0" w:lineRule="atLeast"/>
        <w:jc w:val="center"/>
      </w:pPr>
    </w:p>
    <w:p w14:paraId="2D76F40C">
      <w:pPr>
        <w:pStyle w:val="8"/>
        <w:spacing w:beforeAutospacing="0" w:afterAutospacing="0" w:line="0" w:lineRule="atLeast"/>
        <w:jc w:val="center"/>
      </w:pPr>
    </w:p>
    <w:p w14:paraId="477D3332">
      <w:pPr>
        <w:pStyle w:val="8"/>
        <w:spacing w:beforeAutospacing="0" w:afterAutospacing="0" w:line="0" w:lineRule="atLeast"/>
        <w:jc w:val="center"/>
      </w:pPr>
    </w:p>
    <w:p w14:paraId="2921DFE7">
      <w:pPr>
        <w:pStyle w:val="8"/>
        <w:spacing w:beforeAutospacing="0" w:afterAutospacing="0" w:line="0" w:lineRule="atLeast"/>
        <w:jc w:val="center"/>
      </w:pPr>
    </w:p>
    <w:p w14:paraId="1397797C">
      <w:pPr>
        <w:pStyle w:val="8"/>
        <w:spacing w:beforeAutospacing="0" w:afterAutospacing="0" w:line="0" w:lineRule="atLeast"/>
        <w:jc w:val="center"/>
      </w:pPr>
    </w:p>
    <w:p w14:paraId="351C5859">
      <w:pPr>
        <w:pStyle w:val="8"/>
        <w:spacing w:beforeAutospacing="0" w:afterAutospacing="0" w:line="0" w:lineRule="atLeast"/>
        <w:jc w:val="center"/>
      </w:pPr>
    </w:p>
    <w:p w14:paraId="1B76210E">
      <w:pPr>
        <w:pStyle w:val="8"/>
        <w:spacing w:beforeAutospacing="0" w:afterAutospacing="0" w:line="0" w:lineRule="atLeast"/>
        <w:jc w:val="center"/>
      </w:pPr>
    </w:p>
    <w:p w14:paraId="1DDEDDF2">
      <w:pPr>
        <w:pStyle w:val="8"/>
        <w:spacing w:beforeAutospacing="0" w:afterAutospacing="0" w:line="0" w:lineRule="atLeast"/>
        <w:jc w:val="center"/>
      </w:pPr>
    </w:p>
    <w:p w14:paraId="09F547D0">
      <w:pPr>
        <w:pStyle w:val="8"/>
        <w:spacing w:beforeAutospacing="0" w:afterAutospacing="0" w:line="0" w:lineRule="atLeast"/>
        <w:jc w:val="center"/>
      </w:pPr>
    </w:p>
    <w:p w14:paraId="21D0A133">
      <w:pPr>
        <w:pStyle w:val="8"/>
        <w:spacing w:beforeAutospacing="0" w:afterAutospacing="0" w:line="0" w:lineRule="atLeast"/>
        <w:jc w:val="center"/>
      </w:pPr>
    </w:p>
    <w:p w14:paraId="5BC4E290">
      <w:pPr>
        <w:pStyle w:val="8"/>
        <w:spacing w:beforeAutospacing="0" w:afterAutospacing="0" w:line="0" w:lineRule="atLeast"/>
        <w:jc w:val="center"/>
      </w:pPr>
    </w:p>
    <w:p w14:paraId="2B34A1A1">
      <w:pPr>
        <w:pStyle w:val="8"/>
        <w:spacing w:beforeAutospacing="0" w:afterAutospacing="0" w:line="0" w:lineRule="atLeast"/>
        <w:jc w:val="center"/>
      </w:pPr>
    </w:p>
    <w:p w14:paraId="1D2965DF">
      <w:pPr>
        <w:pStyle w:val="8"/>
        <w:spacing w:beforeAutospacing="0" w:afterAutospacing="0" w:line="0" w:lineRule="atLeast"/>
        <w:jc w:val="center"/>
      </w:pPr>
    </w:p>
    <w:p w14:paraId="5835E152">
      <w:pPr>
        <w:pStyle w:val="8"/>
        <w:spacing w:beforeAutospacing="0" w:afterAutospacing="0" w:line="0" w:lineRule="atLeast"/>
        <w:jc w:val="center"/>
      </w:pPr>
    </w:p>
    <w:p w14:paraId="2611E14E">
      <w:pPr>
        <w:pStyle w:val="8"/>
        <w:spacing w:beforeAutospacing="0" w:afterAutospacing="0" w:line="0" w:lineRule="atLeast"/>
        <w:jc w:val="center"/>
      </w:pPr>
    </w:p>
    <w:p w14:paraId="16FD3100">
      <w:pPr>
        <w:pStyle w:val="8"/>
        <w:spacing w:beforeAutospacing="0" w:afterAutospacing="0" w:line="0" w:lineRule="atLeast"/>
        <w:jc w:val="center"/>
      </w:pPr>
    </w:p>
    <w:p w14:paraId="0A4D814E">
      <w:pPr>
        <w:pStyle w:val="8"/>
        <w:spacing w:beforeAutospacing="0" w:afterAutospacing="0" w:line="0" w:lineRule="atLeast"/>
        <w:jc w:val="center"/>
      </w:pPr>
    </w:p>
    <w:p w14:paraId="5A663891">
      <w:pPr>
        <w:pStyle w:val="8"/>
        <w:spacing w:beforeAutospacing="0" w:afterAutospacing="0" w:line="0" w:lineRule="atLeast"/>
        <w:jc w:val="center"/>
      </w:pPr>
    </w:p>
    <w:p w14:paraId="1E950B76">
      <w:pPr>
        <w:pStyle w:val="8"/>
        <w:spacing w:beforeAutospacing="0" w:afterAutospacing="0" w:line="0" w:lineRule="atLeast"/>
        <w:jc w:val="center"/>
      </w:pPr>
    </w:p>
    <w:p w14:paraId="56E58036">
      <w:pPr>
        <w:pStyle w:val="8"/>
        <w:spacing w:beforeAutospacing="0" w:afterAutospacing="0" w:line="0" w:lineRule="atLeast"/>
        <w:jc w:val="center"/>
      </w:pPr>
    </w:p>
    <w:p w14:paraId="3D74895C">
      <w:pPr>
        <w:pStyle w:val="8"/>
        <w:spacing w:beforeAutospacing="0" w:afterAutospacing="0" w:line="0" w:lineRule="atLeast"/>
        <w:jc w:val="center"/>
      </w:pPr>
    </w:p>
    <w:p w14:paraId="3AC65DEC">
      <w:pPr>
        <w:pStyle w:val="8"/>
        <w:spacing w:beforeAutospacing="0" w:afterAutospacing="0" w:line="0" w:lineRule="atLeast"/>
        <w:jc w:val="center"/>
      </w:pPr>
    </w:p>
    <w:p w14:paraId="4F6E497A">
      <w:pPr>
        <w:pStyle w:val="8"/>
        <w:spacing w:beforeAutospacing="0" w:afterAutospacing="0" w:line="0" w:lineRule="atLeast"/>
        <w:jc w:val="center"/>
      </w:pPr>
      <w:r>
        <w:t> </w:t>
      </w:r>
    </w:p>
    <w:p w14:paraId="55059DF1">
      <w:pPr>
        <w:pStyle w:val="8"/>
        <w:spacing w:beforeAutospacing="0" w:afterAutospacing="0" w:line="0" w:lineRule="atLeast"/>
        <w:jc w:val="center"/>
      </w:pPr>
      <w:r>
        <w:rPr>
          <w:rFonts w:hint="eastAsia" w:ascii="黑体" w:hAnsi="宋体" w:eastAsia="黑体" w:cs="黑体"/>
          <w:b/>
          <w:color w:val="000000"/>
          <w:sz w:val="32"/>
          <w:szCs w:val="32"/>
        </w:rPr>
        <w:t>十一、联合体协议（参考格式）（分包号：**）</w:t>
      </w:r>
    </w:p>
    <w:p w14:paraId="53891179">
      <w:pPr>
        <w:pStyle w:val="8"/>
        <w:spacing w:beforeAutospacing="0" w:afterAutospacing="0" w:line="0" w:lineRule="atLeast"/>
        <w:jc w:val="both"/>
      </w:pPr>
      <w:r>
        <w:rPr>
          <w:rFonts w:hint="eastAsia" w:ascii="宋体" w:hAnsi="宋体" w:eastAsia="宋体" w:cs="宋体"/>
          <w:color w:val="000000"/>
        </w:rPr>
        <w:t>（联合体中各供应商全称）在此达成以下协议：</w:t>
      </w:r>
    </w:p>
    <w:p w14:paraId="4C703083">
      <w:pPr>
        <w:pStyle w:val="8"/>
        <w:spacing w:beforeAutospacing="0" w:afterAutospacing="0" w:line="0" w:lineRule="atLeast"/>
        <w:ind w:firstLine="645"/>
        <w:jc w:val="both"/>
      </w:pPr>
      <w:r>
        <w:rPr>
          <w:rFonts w:hint="eastAsia" w:ascii="宋体" w:hAnsi="宋体" w:eastAsia="宋体" w:cs="宋体"/>
          <w:color w:val="000000"/>
        </w:rPr>
        <w:t>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自愿组成联合体，参加盐城市政府采购人组织的采购编号为</w:t>
      </w:r>
      <w:r>
        <w:rPr>
          <w:rFonts w:hint="eastAsia" w:ascii="宋体" w:hAnsi="宋体" w:eastAsia="宋体" w:cs="宋体"/>
          <w:color w:val="000000"/>
          <w:u w:val="single"/>
        </w:rPr>
        <w:t>（编号全称），（项目全称）</w:t>
      </w:r>
      <w:r>
        <w:rPr>
          <w:rFonts w:hint="eastAsia" w:ascii="宋体" w:hAnsi="宋体" w:eastAsia="宋体" w:cs="宋体"/>
          <w:color w:val="000000"/>
        </w:rPr>
        <w:t>项目（分包号：**）的政府采购活动，我联合体指定</w:t>
      </w:r>
      <w:r>
        <w:rPr>
          <w:rFonts w:hint="eastAsia" w:ascii="宋体" w:hAnsi="宋体" w:eastAsia="宋体" w:cs="宋体"/>
          <w:color w:val="000000"/>
          <w:u w:val="single"/>
        </w:rPr>
        <w:t>（供应商*）</w:t>
      </w:r>
      <w:r>
        <w:rPr>
          <w:rFonts w:hint="eastAsia" w:ascii="宋体" w:hAnsi="宋体" w:eastAsia="宋体" w:cs="宋体"/>
          <w:color w:val="000000"/>
        </w:rPr>
        <w:t>为牵头单位（牵头单位必须为联合体成员）。</w:t>
      </w:r>
    </w:p>
    <w:p w14:paraId="0701FE77">
      <w:pPr>
        <w:pStyle w:val="8"/>
        <w:spacing w:beforeAutospacing="0" w:afterAutospacing="0" w:line="0" w:lineRule="atLeast"/>
        <w:ind w:firstLine="645"/>
        <w:jc w:val="both"/>
      </w:pPr>
      <w:r>
        <w:rPr>
          <w:rFonts w:hint="eastAsia" w:ascii="宋体" w:hAnsi="宋体" w:eastAsia="宋体" w:cs="宋体"/>
          <w:color w:val="000000"/>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28BCBC8">
      <w:pPr>
        <w:pStyle w:val="8"/>
        <w:spacing w:beforeAutospacing="0" w:afterAutospacing="0" w:line="0" w:lineRule="atLeast"/>
        <w:ind w:firstLine="645"/>
        <w:jc w:val="both"/>
      </w:pPr>
      <w:r>
        <w:rPr>
          <w:rFonts w:hint="eastAsia" w:ascii="宋体" w:hAnsi="宋体" w:eastAsia="宋体" w:cs="宋体"/>
          <w:color w:val="000000"/>
        </w:rPr>
        <w:t>3、其中</w:t>
      </w:r>
      <w:r>
        <w:rPr>
          <w:rFonts w:hint="eastAsia" w:ascii="宋体" w:hAnsi="宋体" w:eastAsia="宋体" w:cs="宋体"/>
          <w:color w:val="000000"/>
          <w:u w:val="single"/>
        </w:rPr>
        <w:t xml:space="preserve">      </w:t>
      </w:r>
      <w:r>
        <w:rPr>
          <w:rFonts w:hint="eastAsia" w:ascii="宋体" w:hAnsi="宋体" w:eastAsia="宋体" w:cs="宋体"/>
          <w:color w:val="000000"/>
        </w:rPr>
        <w:t>（小型、微型企业/残疾人福利性单位/监狱企业全称）为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815AC77">
      <w:pPr>
        <w:pStyle w:val="8"/>
        <w:spacing w:beforeAutospacing="0" w:afterAutospacing="0" w:line="0" w:lineRule="atLeast"/>
        <w:ind w:firstLine="645"/>
        <w:jc w:val="both"/>
      </w:pPr>
      <w:r>
        <w:t> </w:t>
      </w:r>
    </w:p>
    <w:p w14:paraId="72865853">
      <w:pPr>
        <w:pStyle w:val="8"/>
        <w:spacing w:beforeAutospacing="0" w:afterAutospacing="0" w:line="0" w:lineRule="atLeast"/>
        <w:ind w:firstLine="645"/>
        <w:jc w:val="both"/>
      </w:pPr>
      <w:r>
        <w:rPr>
          <w:rFonts w:hint="eastAsia" w:ascii="宋体" w:hAnsi="宋体" w:eastAsia="宋体" w:cs="宋体"/>
          <w:color w:val="000000"/>
        </w:rPr>
        <w:t>备注：本招标文件中要求加盖CA电子签章的地方，仅需加盖牵头单位的CA电子签章。</w:t>
      </w:r>
    </w:p>
    <w:p w14:paraId="26F7552D">
      <w:pPr>
        <w:pStyle w:val="8"/>
        <w:spacing w:beforeAutospacing="0" w:afterAutospacing="0" w:line="0" w:lineRule="atLeast"/>
        <w:ind w:firstLine="645"/>
        <w:jc w:val="both"/>
      </w:pPr>
      <w:r>
        <w:rPr>
          <w:rFonts w:hint="eastAsia" w:ascii="宋体" w:hAnsi="宋体" w:eastAsia="宋体" w:cs="宋体"/>
          <w:color w:val="000000"/>
        </w:rPr>
        <w:t>                               </w:t>
      </w:r>
    </w:p>
    <w:p w14:paraId="798B5DE9">
      <w:pPr>
        <w:pStyle w:val="8"/>
        <w:spacing w:beforeAutospacing="0" w:afterAutospacing="0" w:line="0" w:lineRule="atLeast"/>
        <w:ind w:firstLine="645"/>
        <w:jc w:val="right"/>
      </w:pPr>
      <w:r>
        <w:rPr>
          <w:rFonts w:hint="eastAsia" w:ascii="宋体" w:hAnsi="宋体" w:eastAsia="宋体" w:cs="宋体"/>
          <w:color w:val="000000"/>
        </w:rPr>
        <w:t xml:space="preserve">联合体中各供应商全称（公章）：     </w:t>
      </w:r>
    </w:p>
    <w:p w14:paraId="729EA72E">
      <w:pPr>
        <w:pStyle w:val="8"/>
        <w:spacing w:beforeAutospacing="0" w:afterAutospacing="0" w:line="0" w:lineRule="atLeast"/>
        <w:ind w:firstLine="645"/>
        <w:jc w:val="both"/>
      </w:pPr>
      <w:r>
        <w:rPr>
          <w:rFonts w:hint="eastAsia" w:ascii="宋体" w:hAnsi="宋体" w:eastAsia="宋体" w:cs="宋体"/>
          <w:color w:val="000000"/>
        </w:rPr>
        <w:t>                                                          日期：</w:t>
      </w:r>
    </w:p>
    <w:p w14:paraId="4B809382">
      <w:pPr>
        <w:pStyle w:val="8"/>
        <w:spacing w:beforeAutospacing="0" w:afterAutospacing="0" w:line="0" w:lineRule="atLeast"/>
        <w:ind w:firstLine="645"/>
        <w:jc w:val="both"/>
      </w:pPr>
      <w:r>
        <w:t> </w:t>
      </w:r>
    </w:p>
    <w:p w14:paraId="1EA7CF8D">
      <w:pPr>
        <w:pStyle w:val="8"/>
        <w:spacing w:beforeAutospacing="0" w:afterAutospacing="0" w:line="0" w:lineRule="atLeast"/>
        <w:jc w:val="both"/>
      </w:pPr>
      <w:r>
        <w:t> </w:t>
      </w:r>
    </w:p>
    <w:p w14:paraId="26D2083A">
      <w:pPr>
        <w:pStyle w:val="8"/>
        <w:spacing w:beforeAutospacing="0" w:afterAutospacing="0" w:line="0" w:lineRule="atLeast"/>
        <w:jc w:val="both"/>
      </w:pPr>
      <w:r>
        <w:t> </w:t>
      </w:r>
    </w:p>
    <w:p w14:paraId="62924ECB">
      <w:pPr>
        <w:pStyle w:val="8"/>
        <w:spacing w:beforeAutospacing="0" w:afterAutospacing="0" w:line="0" w:lineRule="atLeast"/>
        <w:jc w:val="both"/>
      </w:pPr>
      <w:r>
        <w:t> </w:t>
      </w:r>
    </w:p>
    <w:p w14:paraId="21E5A4A7">
      <w:pPr>
        <w:pStyle w:val="8"/>
        <w:spacing w:beforeAutospacing="0" w:afterAutospacing="0" w:line="0" w:lineRule="atLeast"/>
        <w:jc w:val="both"/>
      </w:pPr>
      <w:r>
        <w:t> </w:t>
      </w:r>
    </w:p>
    <w:p w14:paraId="01EA6B85">
      <w:pPr>
        <w:pStyle w:val="8"/>
        <w:spacing w:beforeAutospacing="0" w:afterAutospacing="0" w:line="0" w:lineRule="atLeast"/>
        <w:jc w:val="both"/>
      </w:pPr>
      <w:r>
        <w:t> </w:t>
      </w:r>
    </w:p>
    <w:p w14:paraId="192B806C">
      <w:pPr>
        <w:pStyle w:val="8"/>
        <w:spacing w:beforeAutospacing="0" w:afterAutospacing="0" w:line="0" w:lineRule="atLeast"/>
        <w:jc w:val="both"/>
      </w:pPr>
    </w:p>
    <w:p w14:paraId="34EA5E11">
      <w:pPr>
        <w:pStyle w:val="8"/>
        <w:spacing w:beforeAutospacing="0" w:afterAutospacing="0" w:line="0" w:lineRule="atLeast"/>
        <w:jc w:val="both"/>
      </w:pPr>
    </w:p>
    <w:p w14:paraId="1E2790D0">
      <w:pPr>
        <w:pStyle w:val="8"/>
        <w:spacing w:beforeAutospacing="0" w:afterAutospacing="0" w:line="0" w:lineRule="atLeast"/>
        <w:jc w:val="both"/>
      </w:pPr>
    </w:p>
    <w:p w14:paraId="6EEB3ED8">
      <w:pPr>
        <w:pStyle w:val="8"/>
        <w:spacing w:beforeAutospacing="0" w:afterAutospacing="0" w:line="0" w:lineRule="atLeast"/>
        <w:jc w:val="both"/>
      </w:pPr>
    </w:p>
    <w:p w14:paraId="51D6E904">
      <w:pPr>
        <w:pStyle w:val="8"/>
        <w:spacing w:beforeAutospacing="0" w:afterAutospacing="0" w:line="0" w:lineRule="atLeast"/>
        <w:jc w:val="both"/>
      </w:pPr>
    </w:p>
    <w:p w14:paraId="3CB624BB">
      <w:pPr>
        <w:pStyle w:val="8"/>
        <w:spacing w:beforeAutospacing="0" w:afterAutospacing="0" w:line="0" w:lineRule="atLeast"/>
        <w:jc w:val="both"/>
      </w:pPr>
    </w:p>
    <w:p w14:paraId="32ABF173">
      <w:pPr>
        <w:pStyle w:val="8"/>
        <w:spacing w:beforeAutospacing="0" w:afterAutospacing="0" w:line="0" w:lineRule="atLeast"/>
        <w:jc w:val="both"/>
      </w:pPr>
    </w:p>
    <w:p w14:paraId="095AA89D">
      <w:pPr>
        <w:pStyle w:val="8"/>
        <w:spacing w:beforeAutospacing="0" w:afterAutospacing="0" w:line="0" w:lineRule="atLeast"/>
        <w:jc w:val="both"/>
      </w:pPr>
    </w:p>
    <w:p w14:paraId="76034EB9">
      <w:pPr>
        <w:pStyle w:val="8"/>
        <w:spacing w:beforeAutospacing="0" w:afterAutospacing="0" w:line="0" w:lineRule="atLeast"/>
        <w:jc w:val="both"/>
      </w:pPr>
    </w:p>
    <w:p w14:paraId="77EFF82E">
      <w:pPr>
        <w:pStyle w:val="8"/>
        <w:spacing w:beforeAutospacing="0" w:afterAutospacing="0" w:line="0" w:lineRule="atLeast"/>
        <w:jc w:val="both"/>
      </w:pPr>
    </w:p>
    <w:p w14:paraId="4C10E8FB">
      <w:pPr>
        <w:pStyle w:val="8"/>
        <w:spacing w:beforeAutospacing="0" w:afterAutospacing="0" w:line="0" w:lineRule="atLeast"/>
        <w:jc w:val="both"/>
      </w:pPr>
    </w:p>
    <w:p w14:paraId="3FC6D128">
      <w:pPr>
        <w:pStyle w:val="8"/>
        <w:spacing w:beforeAutospacing="0" w:afterAutospacing="0" w:line="0" w:lineRule="atLeast"/>
        <w:jc w:val="both"/>
      </w:pPr>
    </w:p>
    <w:p w14:paraId="4952BB8E">
      <w:pPr>
        <w:pStyle w:val="8"/>
        <w:spacing w:beforeAutospacing="0" w:afterAutospacing="0" w:line="0" w:lineRule="atLeast"/>
        <w:jc w:val="both"/>
      </w:pPr>
    </w:p>
    <w:p w14:paraId="05F21021">
      <w:pPr>
        <w:pStyle w:val="8"/>
        <w:spacing w:beforeAutospacing="0" w:afterAutospacing="0" w:line="0" w:lineRule="atLeast"/>
        <w:jc w:val="both"/>
      </w:pPr>
    </w:p>
    <w:p w14:paraId="326177CA">
      <w:pPr>
        <w:pStyle w:val="8"/>
        <w:spacing w:beforeAutospacing="0" w:afterAutospacing="0" w:line="0" w:lineRule="atLeast"/>
        <w:jc w:val="both"/>
      </w:pPr>
    </w:p>
    <w:p w14:paraId="603D43E4">
      <w:pPr>
        <w:pStyle w:val="8"/>
        <w:spacing w:beforeAutospacing="0" w:afterAutospacing="0" w:line="0" w:lineRule="atLeast"/>
        <w:jc w:val="both"/>
      </w:pPr>
    </w:p>
    <w:p w14:paraId="296274EB">
      <w:pPr>
        <w:pStyle w:val="8"/>
        <w:spacing w:beforeAutospacing="0" w:afterAutospacing="0" w:line="0" w:lineRule="atLeast"/>
        <w:jc w:val="both"/>
      </w:pPr>
    </w:p>
    <w:p w14:paraId="412C3536">
      <w:pPr>
        <w:pStyle w:val="8"/>
        <w:spacing w:beforeAutospacing="0" w:afterAutospacing="0" w:line="0" w:lineRule="atLeast"/>
        <w:jc w:val="both"/>
      </w:pPr>
    </w:p>
    <w:p w14:paraId="58022A4A">
      <w:pPr>
        <w:pStyle w:val="8"/>
        <w:spacing w:beforeAutospacing="0" w:afterAutospacing="0" w:line="0" w:lineRule="atLeast"/>
        <w:jc w:val="both"/>
      </w:pPr>
    </w:p>
    <w:p w14:paraId="661D3245">
      <w:pPr>
        <w:pStyle w:val="8"/>
        <w:spacing w:beforeAutospacing="0" w:afterAutospacing="0" w:line="0" w:lineRule="atLeast"/>
        <w:jc w:val="both"/>
      </w:pPr>
    </w:p>
    <w:p w14:paraId="091E75A9">
      <w:pPr>
        <w:pStyle w:val="8"/>
        <w:spacing w:beforeAutospacing="0" w:afterAutospacing="0" w:line="0" w:lineRule="atLeast"/>
        <w:jc w:val="both"/>
      </w:pPr>
    </w:p>
    <w:p w14:paraId="1801F494">
      <w:pPr>
        <w:pStyle w:val="8"/>
        <w:spacing w:beforeAutospacing="0" w:afterAutospacing="0"/>
        <w:jc w:val="center"/>
      </w:pPr>
      <w:r>
        <w:rPr>
          <w:rFonts w:hint="eastAsia" w:ascii="黑体" w:hAnsi="宋体" w:eastAsia="黑体" w:cs="黑体"/>
          <w:b/>
          <w:color w:val="000000"/>
          <w:sz w:val="32"/>
          <w:szCs w:val="32"/>
        </w:rPr>
        <w:t>十二、投标分项报价表</w:t>
      </w:r>
    </w:p>
    <w:tbl>
      <w:tblPr>
        <w:tblStyle w:val="10"/>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139CC40">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109F2B">
            <w:pPr>
              <w:pStyle w:val="8"/>
              <w:spacing w:beforeAutospacing="0" w:afterAutospacing="0" w:line="0" w:lineRule="atLeast"/>
              <w:jc w:val="center"/>
            </w:pPr>
            <w:r>
              <w:rPr>
                <w:rFonts w:hint="eastAsia" w:ascii="宋体" w:hAnsi="宋体" w:eastAsia="宋体" w:cs="宋体"/>
                <w:color w:val="000000"/>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0072">
            <w:pPr>
              <w:pStyle w:val="8"/>
              <w:spacing w:beforeAutospacing="0" w:afterAutospacing="0" w:line="0" w:lineRule="atLeast"/>
              <w:jc w:val="center"/>
            </w:pPr>
            <w:r>
              <w:rPr>
                <w:rFonts w:hint="eastAsia" w:ascii="宋体" w:hAnsi="宋体" w:eastAsia="宋体" w:cs="宋体"/>
                <w:color w:val="000000"/>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0EB9">
            <w:pPr>
              <w:pStyle w:val="8"/>
              <w:spacing w:beforeAutospacing="0" w:afterAutospacing="0" w:line="0" w:lineRule="atLeast"/>
              <w:jc w:val="center"/>
            </w:pPr>
            <w:r>
              <w:rPr>
                <w:rFonts w:hint="eastAsia" w:ascii="宋体" w:hAnsi="宋体" w:eastAsia="宋体" w:cs="宋体"/>
                <w:color w:val="000000"/>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AC0C">
            <w:pPr>
              <w:pStyle w:val="8"/>
              <w:spacing w:beforeAutospacing="0" w:afterAutospacing="0" w:line="0" w:lineRule="atLeast"/>
              <w:jc w:val="center"/>
            </w:pPr>
            <w:r>
              <w:rPr>
                <w:rFonts w:hint="eastAsia" w:ascii="宋体" w:hAnsi="宋体" w:eastAsia="宋体" w:cs="宋体"/>
                <w:color w:val="000000"/>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FDDB">
            <w:pPr>
              <w:pStyle w:val="8"/>
              <w:spacing w:beforeAutospacing="0" w:afterAutospacing="0" w:line="0" w:lineRule="atLeast"/>
              <w:jc w:val="center"/>
            </w:pPr>
            <w:r>
              <w:rPr>
                <w:rFonts w:hint="eastAsia" w:ascii="宋体" w:hAnsi="宋体" w:eastAsia="宋体" w:cs="宋体"/>
                <w:color w:val="000000"/>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AEEB">
            <w:pPr>
              <w:pStyle w:val="8"/>
              <w:spacing w:beforeAutospacing="0" w:afterAutospacing="0" w:line="0" w:lineRule="atLeast"/>
              <w:jc w:val="center"/>
            </w:pPr>
            <w:r>
              <w:rPr>
                <w:rFonts w:hint="eastAsia" w:ascii="宋体" w:hAnsi="宋体" w:eastAsia="宋体" w:cs="宋体"/>
                <w:color w:val="000000"/>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70F3">
            <w:pPr>
              <w:pStyle w:val="8"/>
              <w:spacing w:beforeAutospacing="0" w:afterAutospacing="0" w:line="0" w:lineRule="atLeast"/>
              <w:jc w:val="center"/>
            </w:pPr>
            <w:r>
              <w:rPr>
                <w:rFonts w:hint="eastAsia" w:ascii="宋体" w:hAnsi="宋体" w:eastAsia="宋体" w:cs="宋体"/>
                <w:color w:val="000000"/>
              </w:rPr>
              <w:t>6</w:t>
            </w:r>
          </w:p>
        </w:tc>
      </w:tr>
      <w:tr w14:paraId="6DF89956">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DB95F">
            <w:pPr>
              <w:rPr>
                <w:rFonts w:ascii="宋体"/>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D50C0">
            <w:pPr>
              <w:pStyle w:val="8"/>
              <w:spacing w:beforeAutospacing="0" w:afterAutospacing="0" w:line="0" w:lineRule="atLeast"/>
              <w:jc w:val="center"/>
            </w:pPr>
            <w:r>
              <w:rPr>
                <w:rFonts w:hint="eastAsia" w:ascii="宋体" w:hAnsi="宋体" w:eastAsia="宋体" w:cs="宋体"/>
                <w:color w:val="000000"/>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F840F">
            <w:pPr>
              <w:pStyle w:val="8"/>
              <w:spacing w:beforeAutospacing="0" w:afterAutospacing="0" w:line="0" w:lineRule="atLeast"/>
              <w:jc w:val="center"/>
            </w:pPr>
            <w:r>
              <w:rPr>
                <w:rFonts w:hint="eastAsia" w:ascii="宋体" w:hAnsi="宋体" w:eastAsia="宋体" w:cs="宋体"/>
                <w:color w:val="000000"/>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F0AA">
            <w:pPr>
              <w:pStyle w:val="8"/>
              <w:spacing w:beforeAutospacing="0" w:afterAutospacing="0" w:line="0" w:lineRule="atLeast"/>
              <w:jc w:val="center"/>
            </w:pPr>
            <w:r>
              <w:rPr>
                <w:rFonts w:hint="eastAsia" w:ascii="宋体" w:hAnsi="宋体" w:eastAsia="宋体" w:cs="宋体"/>
                <w:color w:val="000000"/>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92F5">
            <w:pPr>
              <w:pStyle w:val="8"/>
              <w:spacing w:beforeAutospacing="0" w:afterAutospacing="0" w:line="0" w:lineRule="atLeast"/>
              <w:jc w:val="center"/>
            </w:pPr>
            <w:r>
              <w:rPr>
                <w:rFonts w:hint="eastAsia" w:ascii="宋体" w:hAnsi="宋体" w:eastAsia="宋体" w:cs="宋体"/>
                <w:color w:val="000000"/>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9BBE">
            <w:pPr>
              <w:pStyle w:val="8"/>
              <w:spacing w:beforeAutospacing="0" w:afterAutospacing="0" w:line="0" w:lineRule="atLeast"/>
              <w:jc w:val="center"/>
            </w:pPr>
            <w:r>
              <w:rPr>
                <w:rFonts w:hint="eastAsia" w:ascii="宋体" w:hAnsi="宋体" w:eastAsia="宋体" w:cs="宋体"/>
                <w:color w:val="000000"/>
              </w:rPr>
              <w:t>分项</w:t>
            </w:r>
          </w:p>
          <w:p w14:paraId="773FA096">
            <w:pPr>
              <w:pStyle w:val="8"/>
              <w:spacing w:beforeAutospacing="0" w:afterAutospacing="0" w:line="0" w:lineRule="atLeast"/>
              <w:jc w:val="center"/>
            </w:pPr>
            <w:r>
              <w:rPr>
                <w:rFonts w:hint="eastAsia" w:ascii="宋体" w:hAnsi="宋体" w:eastAsia="宋体" w:cs="宋体"/>
                <w:color w:val="000000"/>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08F27">
            <w:pPr>
              <w:pStyle w:val="8"/>
              <w:spacing w:beforeAutospacing="0" w:afterAutospacing="0" w:line="0" w:lineRule="atLeast"/>
              <w:jc w:val="center"/>
            </w:pPr>
            <w:r>
              <w:rPr>
                <w:rFonts w:hint="eastAsia" w:ascii="宋体" w:hAnsi="宋体" w:eastAsia="宋体" w:cs="宋体"/>
                <w:color w:val="000000"/>
              </w:rPr>
              <w:t>分项</w:t>
            </w:r>
          </w:p>
          <w:p w14:paraId="3380C454">
            <w:pPr>
              <w:pStyle w:val="8"/>
              <w:spacing w:beforeAutospacing="0" w:afterAutospacing="0" w:line="0" w:lineRule="atLeast"/>
              <w:jc w:val="center"/>
            </w:pPr>
            <w:r>
              <w:rPr>
                <w:rFonts w:hint="eastAsia" w:ascii="宋体" w:hAnsi="宋体" w:eastAsia="宋体" w:cs="宋体"/>
                <w:color w:val="000000"/>
              </w:rPr>
              <w:t>总价</w:t>
            </w:r>
          </w:p>
        </w:tc>
      </w:tr>
      <w:tr w14:paraId="50DCF8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F7BBD">
            <w:pPr>
              <w:pStyle w:val="8"/>
              <w:spacing w:beforeAutospacing="0" w:afterAutospacing="0" w:line="0" w:lineRule="atLeast"/>
              <w:jc w:val="center"/>
            </w:pPr>
            <w:r>
              <w:rPr>
                <w:rFonts w:hint="eastAsia" w:ascii="宋体" w:hAnsi="宋体" w:eastAsia="宋体" w:cs="宋体"/>
                <w:color w:val="000000"/>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AF978">
            <w:pPr>
              <w:pStyle w:val="8"/>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B85">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B882">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4018">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D600">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48C74">
            <w:pPr>
              <w:pStyle w:val="8"/>
              <w:spacing w:beforeAutospacing="0" w:afterAutospacing="0" w:line="0" w:lineRule="atLeast"/>
              <w:jc w:val="center"/>
            </w:pPr>
            <w:r>
              <w:t> </w:t>
            </w:r>
          </w:p>
        </w:tc>
      </w:tr>
      <w:tr w14:paraId="06708FC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A04D">
            <w:pPr>
              <w:pStyle w:val="8"/>
              <w:spacing w:beforeAutospacing="0" w:afterAutospacing="0" w:line="0" w:lineRule="atLeast"/>
              <w:jc w:val="center"/>
            </w:pPr>
            <w:r>
              <w:rPr>
                <w:rFonts w:hint="eastAsia" w:ascii="宋体" w:hAnsi="宋体" w:eastAsia="宋体" w:cs="宋体"/>
                <w:color w:val="000000"/>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8BFA">
            <w:pPr>
              <w:pStyle w:val="8"/>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E623">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8B158">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54A3">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B89F">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8992">
            <w:pPr>
              <w:pStyle w:val="8"/>
              <w:spacing w:beforeAutospacing="0" w:afterAutospacing="0" w:line="0" w:lineRule="atLeast"/>
              <w:jc w:val="center"/>
            </w:pPr>
            <w:r>
              <w:t> </w:t>
            </w:r>
          </w:p>
        </w:tc>
      </w:tr>
      <w:tr w14:paraId="12EDC2B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1112">
            <w:pPr>
              <w:pStyle w:val="8"/>
              <w:spacing w:beforeAutospacing="0" w:afterAutospacing="0" w:line="0" w:lineRule="atLeast"/>
              <w:jc w:val="center"/>
            </w:pPr>
            <w:r>
              <w:rPr>
                <w:rFonts w:hint="eastAsia" w:ascii="宋体" w:hAnsi="宋体" w:eastAsia="宋体" w:cs="宋体"/>
                <w:color w:val="000000"/>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A23A">
            <w:pPr>
              <w:pStyle w:val="8"/>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57DE">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E6D2">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9D3D6">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B8DF">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0DDE">
            <w:pPr>
              <w:pStyle w:val="8"/>
              <w:spacing w:beforeAutospacing="0" w:afterAutospacing="0" w:line="0" w:lineRule="atLeast"/>
              <w:jc w:val="center"/>
            </w:pPr>
            <w:r>
              <w:t> </w:t>
            </w:r>
          </w:p>
        </w:tc>
      </w:tr>
      <w:tr w14:paraId="3D21A39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46BE8">
            <w:pPr>
              <w:pStyle w:val="8"/>
              <w:spacing w:beforeAutospacing="0" w:afterAutospacing="0" w:line="0" w:lineRule="atLeast"/>
              <w:jc w:val="center"/>
            </w:pPr>
            <w:r>
              <w:rPr>
                <w:rFonts w:hint="eastAsia" w:ascii="宋体" w:hAnsi="宋体" w:eastAsia="宋体" w:cs="宋体"/>
                <w:color w:val="000000"/>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734E">
            <w:pPr>
              <w:pStyle w:val="8"/>
              <w:spacing w:beforeAutospacing="0" w:afterAutospacing="0" w:line="0" w:lineRule="atLeast"/>
              <w:jc w:val="center"/>
            </w:pPr>
            <w:r>
              <w:rPr>
                <w:rFonts w:hint="eastAsia" w:ascii="宋体" w:hAnsi="宋体" w:eastAsia="宋体" w:cs="宋体"/>
                <w:color w:val="000000"/>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50DF">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7D8B">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BDACA">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786A">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93421">
            <w:pPr>
              <w:pStyle w:val="8"/>
              <w:spacing w:beforeAutospacing="0" w:afterAutospacing="0" w:line="0" w:lineRule="atLeast"/>
              <w:jc w:val="center"/>
            </w:pPr>
            <w:r>
              <w:t> </w:t>
            </w:r>
          </w:p>
        </w:tc>
      </w:tr>
      <w:tr w14:paraId="1B5839B1">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8E9EC4">
            <w:pPr>
              <w:pStyle w:val="8"/>
              <w:spacing w:beforeAutospacing="0" w:afterAutospacing="0" w:line="0" w:lineRule="atLeast"/>
              <w:jc w:val="center"/>
            </w:pPr>
            <w:r>
              <w:rPr>
                <w:rFonts w:hint="eastAsia" w:ascii="宋体" w:hAnsi="宋体" w:eastAsia="宋体" w:cs="宋体"/>
                <w:color w:val="000000"/>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B226">
            <w:pPr>
              <w:pStyle w:val="8"/>
              <w:spacing w:beforeAutospacing="0" w:afterAutospacing="0" w:line="0" w:lineRule="atLeast"/>
              <w:jc w:val="both"/>
            </w:pPr>
            <w:r>
              <w:t> </w:t>
            </w:r>
          </w:p>
        </w:tc>
      </w:tr>
    </w:tbl>
    <w:p w14:paraId="22AA05A2">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6FA6D285">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备注：该表仅适用于项目采用货币报价的情形。项目采用折扣率报价的，如需要填写投标分项报价表，请项目经办人自行设计表格。招标文件定稿后该备注删除。</w:t>
      </w:r>
    </w:p>
    <w:p w14:paraId="6DE71AC5">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 </w:t>
      </w:r>
    </w:p>
    <w:p w14:paraId="55FAEB7B">
      <w:pPr>
        <w:pStyle w:val="8"/>
        <w:spacing w:beforeAutospacing="0" w:afterAutospacing="0"/>
        <w:jc w:val="center"/>
      </w:pPr>
      <w:r>
        <w:t> </w:t>
      </w:r>
    </w:p>
    <w:p w14:paraId="1628A787">
      <w:pPr>
        <w:pStyle w:val="8"/>
        <w:spacing w:beforeAutospacing="0" w:afterAutospacing="0"/>
        <w:jc w:val="center"/>
      </w:pPr>
      <w:r>
        <w:t> </w:t>
      </w:r>
    </w:p>
    <w:p w14:paraId="30AF915A">
      <w:pPr>
        <w:pStyle w:val="8"/>
        <w:spacing w:beforeAutospacing="0" w:afterAutospacing="0"/>
        <w:jc w:val="center"/>
      </w:pPr>
      <w:r>
        <w:t> </w:t>
      </w:r>
    </w:p>
    <w:p w14:paraId="5A680315">
      <w:pPr>
        <w:pStyle w:val="8"/>
        <w:spacing w:beforeAutospacing="0" w:afterAutospacing="0"/>
        <w:jc w:val="center"/>
      </w:pPr>
      <w:r>
        <w:t> </w:t>
      </w:r>
    </w:p>
    <w:p w14:paraId="634B3137">
      <w:pPr>
        <w:pStyle w:val="8"/>
        <w:spacing w:beforeAutospacing="0" w:afterAutospacing="0"/>
        <w:jc w:val="center"/>
      </w:pPr>
    </w:p>
    <w:p w14:paraId="56ABFD18">
      <w:pPr>
        <w:pStyle w:val="8"/>
        <w:spacing w:beforeAutospacing="0" w:afterAutospacing="0"/>
        <w:jc w:val="center"/>
      </w:pPr>
    </w:p>
    <w:p w14:paraId="1F197410">
      <w:pPr>
        <w:pStyle w:val="8"/>
        <w:spacing w:beforeAutospacing="0" w:afterAutospacing="0"/>
        <w:jc w:val="center"/>
      </w:pPr>
    </w:p>
    <w:p w14:paraId="2E864455">
      <w:pPr>
        <w:pStyle w:val="8"/>
        <w:spacing w:beforeAutospacing="0" w:afterAutospacing="0"/>
        <w:jc w:val="center"/>
      </w:pPr>
    </w:p>
    <w:p w14:paraId="6FF84565">
      <w:pPr>
        <w:pStyle w:val="8"/>
        <w:spacing w:beforeAutospacing="0" w:afterAutospacing="0"/>
        <w:jc w:val="center"/>
      </w:pPr>
    </w:p>
    <w:p w14:paraId="228B2FB3">
      <w:pPr>
        <w:pStyle w:val="8"/>
        <w:spacing w:beforeAutospacing="0" w:afterAutospacing="0"/>
        <w:jc w:val="center"/>
      </w:pPr>
    </w:p>
    <w:p w14:paraId="4C76E1E4">
      <w:pPr>
        <w:pStyle w:val="8"/>
        <w:spacing w:beforeAutospacing="0" w:afterAutospacing="0"/>
        <w:jc w:val="center"/>
      </w:pPr>
    </w:p>
    <w:p w14:paraId="07C4BDA0">
      <w:pPr>
        <w:pStyle w:val="8"/>
        <w:spacing w:beforeAutospacing="0" w:afterAutospacing="0"/>
        <w:jc w:val="center"/>
      </w:pPr>
      <w:r>
        <w:rPr>
          <w:rFonts w:hint="eastAsia" w:ascii="黑体" w:hAnsi="宋体" w:eastAsia="黑体" w:cs="黑体"/>
          <w:b/>
          <w:color w:val="000000"/>
          <w:sz w:val="32"/>
          <w:szCs w:val="32"/>
        </w:rPr>
        <w:t>十三、技术要求响应及偏离表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8095B97">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55C7">
            <w:pPr>
              <w:pStyle w:val="8"/>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850A">
            <w:pPr>
              <w:pStyle w:val="8"/>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AB0FE">
            <w:pPr>
              <w:pStyle w:val="8"/>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CA60">
            <w:pPr>
              <w:pStyle w:val="8"/>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B75D">
            <w:pPr>
              <w:pStyle w:val="8"/>
              <w:spacing w:beforeAutospacing="0" w:afterAutospacing="0"/>
              <w:jc w:val="center"/>
            </w:pPr>
            <w:r>
              <w:rPr>
                <w:rFonts w:hint="eastAsia" w:ascii="宋体" w:hAnsi="宋体" w:eastAsia="宋体" w:cs="宋体"/>
                <w:color w:val="000000"/>
              </w:rPr>
              <w:t>证明</w:t>
            </w:r>
          </w:p>
          <w:p w14:paraId="36DB599B">
            <w:pPr>
              <w:pStyle w:val="8"/>
              <w:spacing w:beforeAutospacing="0" w:afterAutospacing="0"/>
              <w:jc w:val="center"/>
            </w:pPr>
            <w:r>
              <w:rPr>
                <w:rFonts w:hint="eastAsia" w:ascii="宋体" w:hAnsi="宋体" w:eastAsia="宋体" w:cs="宋体"/>
                <w:color w:val="000000"/>
              </w:rPr>
              <w:t>材料</w:t>
            </w:r>
          </w:p>
        </w:tc>
      </w:tr>
      <w:tr w14:paraId="0D3F510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B5FE3">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4B7F">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F44A4">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2AEF">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0E71E">
            <w:pPr>
              <w:pStyle w:val="8"/>
              <w:spacing w:beforeAutospacing="0" w:afterAutospacing="0"/>
              <w:jc w:val="center"/>
            </w:pPr>
            <w:r>
              <w:t> </w:t>
            </w:r>
          </w:p>
        </w:tc>
      </w:tr>
      <w:tr w14:paraId="32DD5AC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34471">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7BEA">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AA2E">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8F64">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9995D">
            <w:pPr>
              <w:pStyle w:val="8"/>
              <w:spacing w:beforeAutospacing="0" w:afterAutospacing="0"/>
              <w:jc w:val="center"/>
            </w:pPr>
            <w:r>
              <w:t> </w:t>
            </w:r>
          </w:p>
        </w:tc>
      </w:tr>
      <w:tr w14:paraId="1930084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5864">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E012">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1A89">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C753">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A6E8D">
            <w:pPr>
              <w:pStyle w:val="8"/>
              <w:spacing w:beforeAutospacing="0" w:afterAutospacing="0"/>
              <w:jc w:val="center"/>
            </w:pPr>
            <w:r>
              <w:t> </w:t>
            </w:r>
          </w:p>
        </w:tc>
      </w:tr>
      <w:tr w14:paraId="1DCF42B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ADC64">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DC8B">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8FC5">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5927">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AE5D0">
            <w:pPr>
              <w:pStyle w:val="8"/>
              <w:spacing w:beforeAutospacing="0" w:afterAutospacing="0"/>
              <w:jc w:val="center"/>
            </w:pPr>
            <w:r>
              <w:t> </w:t>
            </w:r>
          </w:p>
        </w:tc>
      </w:tr>
      <w:tr w14:paraId="58BDCE6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49F5">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04AE">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8EC3">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7295">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8A42">
            <w:pPr>
              <w:pStyle w:val="8"/>
              <w:spacing w:beforeAutospacing="0" w:afterAutospacing="0"/>
              <w:jc w:val="center"/>
            </w:pPr>
            <w:r>
              <w:t> </w:t>
            </w:r>
          </w:p>
        </w:tc>
      </w:tr>
      <w:tr w14:paraId="64FE8FF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449B">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9E56">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833A4">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F1B8">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0334">
            <w:pPr>
              <w:pStyle w:val="8"/>
              <w:spacing w:beforeAutospacing="0" w:afterAutospacing="0"/>
              <w:jc w:val="center"/>
            </w:pPr>
            <w:r>
              <w:t> </w:t>
            </w:r>
          </w:p>
        </w:tc>
      </w:tr>
      <w:tr w14:paraId="460BF3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1222">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718D">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07D6">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7FDF">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73C3">
            <w:pPr>
              <w:pStyle w:val="8"/>
              <w:spacing w:beforeAutospacing="0" w:afterAutospacing="0"/>
              <w:jc w:val="center"/>
            </w:pPr>
            <w:r>
              <w:t> </w:t>
            </w:r>
          </w:p>
        </w:tc>
      </w:tr>
      <w:tr w14:paraId="50FA3EE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1CDA7">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B6319">
            <w:pPr>
              <w:pStyle w:val="8"/>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9158">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BFF3">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A52B">
            <w:pPr>
              <w:pStyle w:val="8"/>
              <w:spacing w:beforeAutospacing="0" w:afterAutospacing="0"/>
              <w:jc w:val="center"/>
            </w:pPr>
            <w:r>
              <w:t> </w:t>
            </w:r>
          </w:p>
        </w:tc>
      </w:tr>
    </w:tbl>
    <w:p w14:paraId="2B4D2846">
      <w:pPr>
        <w:pStyle w:val="8"/>
        <w:spacing w:beforeAutospacing="0" w:afterAutospacing="0"/>
        <w:jc w:val="both"/>
      </w:pPr>
      <w:r>
        <w:rPr>
          <w:rFonts w:hint="eastAsia" w:ascii="宋体" w:hAnsi="宋体" w:eastAsia="宋体" w:cs="宋体"/>
          <w:color w:val="000000"/>
        </w:rPr>
        <w:t>注： 行数不够，可自行添加。</w:t>
      </w:r>
    </w:p>
    <w:p w14:paraId="4A0EC9EA">
      <w:pPr>
        <w:pStyle w:val="8"/>
        <w:spacing w:beforeAutospacing="0" w:afterAutospacing="0"/>
        <w:jc w:val="center"/>
      </w:pPr>
      <w:r>
        <w:t> </w:t>
      </w:r>
    </w:p>
    <w:p w14:paraId="3464F099">
      <w:pPr>
        <w:pStyle w:val="8"/>
        <w:spacing w:beforeAutospacing="0" w:afterAutospacing="0"/>
        <w:jc w:val="center"/>
      </w:pPr>
      <w:r>
        <w:t> </w:t>
      </w:r>
    </w:p>
    <w:p w14:paraId="1F6EE837">
      <w:pPr>
        <w:pStyle w:val="8"/>
        <w:spacing w:beforeAutospacing="0" w:afterAutospacing="0"/>
        <w:jc w:val="center"/>
      </w:pPr>
      <w:r>
        <w:t> </w:t>
      </w:r>
    </w:p>
    <w:p w14:paraId="7CCF3628">
      <w:pPr>
        <w:pStyle w:val="8"/>
        <w:spacing w:beforeAutospacing="0" w:afterAutospacing="0"/>
        <w:jc w:val="center"/>
      </w:pPr>
      <w:r>
        <w:t> </w:t>
      </w:r>
    </w:p>
    <w:p w14:paraId="345D94DE">
      <w:pPr>
        <w:pStyle w:val="8"/>
        <w:spacing w:beforeAutospacing="0" w:afterAutospacing="0"/>
        <w:jc w:val="both"/>
      </w:pPr>
      <w:r>
        <w:t> </w:t>
      </w:r>
    </w:p>
    <w:p w14:paraId="0524D7B4">
      <w:pPr>
        <w:pStyle w:val="8"/>
        <w:spacing w:beforeAutospacing="0" w:afterAutospacing="0"/>
        <w:jc w:val="both"/>
      </w:pPr>
      <w:r>
        <w:t> </w:t>
      </w:r>
    </w:p>
    <w:p w14:paraId="7173B9B4">
      <w:pPr>
        <w:pStyle w:val="8"/>
        <w:spacing w:beforeAutospacing="0" w:afterAutospacing="0"/>
        <w:jc w:val="both"/>
      </w:pPr>
      <w:r>
        <w:t> </w:t>
      </w:r>
    </w:p>
    <w:p w14:paraId="7FA819C2">
      <w:pPr>
        <w:pStyle w:val="8"/>
        <w:spacing w:beforeAutospacing="0" w:afterAutospacing="0"/>
        <w:jc w:val="both"/>
      </w:pPr>
      <w:r>
        <w:t> </w:t>
      </w:r>
    </w:p>
    <w:p w14:paraId="668003F8">
      <w:pPr>
        <w:pStyle w:val="8"/>
        <w:spacing w:beforeAutospacing="0" w:afterAutospacing="0"/>
        <w:jc w:val="both"/>
      </w:pPr>
    </w:p>
    <w:p w14:paraId="6EF132EA">
      <w:pPr>
        <w:pStyle w:val="8"/>
        <w:spacing w:beforeAutospacing="0" w:afterAutospacing="0"/>
        <w:jc w:val="both"/>
      </w:pPr>
    </w:p>
    <w:p w14:paraId="363B3C8F">
      <w:pPr>
        <w:pStyle w:val="8"/>
        <w:spacing w:beforeAutospacing="0" w:afterAutospacing="0"/>
        <w:jc w:val="both"/>
      </w:pPr>
    </w:p>
    <w:p w14:paraId="198F160A">
      <w:pPr>
        <w:pStyle w:val="8"/>
        <w:spacing w:beforeAutospacing="0" w:afterAutospacing="0"/>
        <w:jc w:val="both"/>
      </w:pPr>
    </w:p>
    <w:p w14:paraId="2FB9D8DB">
      <w:pPr>
        <w:pStyle w:val="8"/>
        <w:numPr>
          <w:ilvl w:val="0"/>
          <w:numId w:val="3"/>
        </w:numPr>
        <w:spacing w:beforeAutospacing="0" w:afterAutospacing="0"/>
        <w:jc w:val="center"/>
        <w:rPr>
          <w:rFonts w:ascii="黑体" w:hAnsi="宋体" w:eastAsia="黑体" w:cs="黑体"/>
          <w:b/>
          <w:color w:val="000000"/>
          <w:sz w:val="32"/>
          <w:szCs w:val="32"/>
        </w:rPr>
      </w:pPr>
      <w:bookmarkStart w:id="190" w:name="_Hlt26955054"/>
      <w:r>
        <w:rPr>
          <w:rFonts w:hint="eastAsia" w:ascii="黑体" w:hAnsi="宋体" w:eastAsia="黑体" w:cs="黑体"/>
          <w:b/>
          <w:color w:val="000000"/>
          <w:sz w:val="32"/>
          <w:szCs w:val="32"/>
        </w:rPr>
        <w:t>商务要求响应及偏离表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26907EA3">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0AFA">
            <w:pPr>
              <w:pStyle w:val="8"/>
              <w:spacing w:beforeAutospacing="0" w:afterAutospacing="0"/>
              <w:jc w:val="center"/>
            </w:pPr>
            <w:bookmarkStart w:id="191" w:name="_Hlt26671372"/>
            <w:bookmarkStart w:id="192" w:name="_Hlt26782999"/>
            <w:bookmarkStart w:id="193" w:name="_Hlt26955056"/>
            <w:bookmarkStart w:id="194" w:name="_Hlt26580838"/>
            <w:bookmarkStart w:id="195" w:name="_Hlt24879081"/>
            <w:bookmarkStart w:id="196" w:name="_Hlt26671343"/>
            <w:bookmarkStart w:id="197" w:name="_Hlt26609391"/>
            <w:bookmarkStart w:id="198" w:name="_Hlt26955064"/>
            <w:r>
              <w:rPr>
                <w:rFonts w:hint="eastAsia" w:ascii="宋体" w:hAnsi="宋体" w:eastAsia="宋体" w:cs="宋体"/>
                <w:color w:val="000000"/>
              </w:rPr>
              <w:t>序号</w:t>
            </w:r>
          </w:p>
          <w:bookmarkEnd w:id="191"/>
          <w:bookmarkEnd w:id="192"/>
          <w:bookmarkEnd w:id="193"/>
          <w:bookmarkEnd w:id="194"/>
          <w:bookmarkEnd w:id="195"/>
          <w:bookmarkEnd w:id="196"/>
          <w:bookmarkEnd w:id="197"/>
          <w:bookmarkEnd w:id="198"/>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BBE4">
            <w:pPr>
              <w:pStyle w:val="8"/>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CD9A">
            <w:pPr>
              <w:pStyle w:val="8"/>
              <w:spacing w:beforeAutospacing="0" w:afterAutospacing="0"/>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7A7E">
            <w:pPr>
              <w:pStyle w:val="8"/>
              <w:spacing w:beforeAutospacing="0" w:afterAutospacing="0"/>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DFCD4">
            <w:pPr>
              <w:pStyle w:val="8"/>
              <w:spacing w:beforeAutospacing="0" w:afterAutospacing="0"/>
              <w:jc w:val="center"/>
            </w:pPr>
            <w:r>
              <w:rPr>
                <w:rFonts w:hint="eastAsia" w:ascii="宋体" w:hAnsi="宋体" w:eastAsia="宋体" w:cs="宋体"/>
                <w:color w:val="000000"/>
              </w:rPr>
              <w:t>证明</w:t>
            </w:r>
          </w:p>
          <w:p w14:paraId="24492EAE">
            <w:pPr>
              <w:pStyle w:val="8"/>
              <w:spacing w:beforeAutospacing="0" w:afterAutospacing="0"/>
              <w:jc w:val="center"/>
            </w:pPr>
            <w:r>
              <w:rPr>
                <w:rFonts w:hint="eastAsia" w:ascii="宋体" w:hAnsi="宋体" w:eastAsia="宋体" w:cs="宋体"/>
                <w:color w:val="000000"/>
              </w:rPr>
              <w:t>材料</w:t>
            </w:r>
          </w:p>
        </w:tc>
      </w:tr>
      <w:tr w14:paraId="39568D3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FA40">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B2437">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9504F">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CA21">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92F3F">
            <w:pPr>
              <w:pStyle w:val="8"/>
              <w:spacing w:beforeAutospacing="0" w:afterAutospacing="0"/>
              <w:jc w:val="center"/>
            </w:pPr>
            <w:r>
              <w:t> </w:t>
            </w:r>
          </w:p>
        </w:tc>
      </w:tr>
      <w:tr w14:paraId="74DB33F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4E853">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19477">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6AAD">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59B3">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DC68">
            <w:pPr>
              <w:pStyle w:val="8"/>
              <w:spacing w:beforeAutospacing="0" w:afterAutospacing="0"/>
              <w:jc w:val="center"/>
            </w:pPr>
            <w:r>
              <w:t> </w:t>
            </w:r>
          </w:p>
        </w:tc>
      </w:tr>
      <w:tr w14:paraId="4E0AF06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18DA">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0FA1">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86251">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7433">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99E7">
            <w:pPr>
              <w:pStyle w:val="8"/>
              <w:spacing w:beforeAutospacing="0" w:afterAutospacing="0"/>
              <w:jc w:val="center"/>
            </w:pPr>
            <w:r>
              <w:t> </w:t>
            </w:r>
          </w:p>
        </w:tc>
      </w:tr>
      <w:tr w14:paraId="416B2CC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B109">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7086">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9EBE">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DC59A">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271F9">
            <w:pPr>
              <w:pStyle w:val="8"/>
              <w:spacing w:beforeAutospacing="0" w:afterAutospacing="0"/>
              <w:jc w:val="center"/>
            </w:pPr>
            <w:r>
              <w:t> </w:t>
            </w:r>
          </w:p>
        </w:tc>
      </w:tr>
      <w:tr w14:paraId="275C190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C263">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2ADA">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0D3B3">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4016">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55F76">
            <w:pPr>
              <w:pStyle w:val="8"/>
              <w:spacing w:beforeAutospacing="0" w:afterAutospacing="0"/>
              <w:jc w:val="center"/>
            </w:pPr>
            <w:r>
              <w:t> </w:t>
            </w:r>
          </w:p>
        </w:tc>
      </w:tr>
      <w:tr w14:paraId="7B301B5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997C">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1DF66">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0C1E">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C05A">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D144A">
            <w:pPr>
              <w:pStyle w:val="8"/>
              <w:spacing w:beforeAutospacing="0" w:afterAutospacing="0"/>
              <w:jc w:val="center"/>
            </w:pPr>
            <w:r>
              <w:t> </w:t>
            </w:r>
          </w:p>
        </w:tc>
      </w:tr>
      <w:tr w14:paraId="3BEE318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4FAB7">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34E45">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E766C">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E069">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C116">
            <w:pPr>
              <w:pStyle w:val="8"/>
              <w:spacing w:beforeAutospacing="0" w:afterAutospacing="0"/>
              <w:jc w:val="center"/>
            </w:pPr>
            <w:r>
              <w:t> </w:t>
            </w:r>
          </w:p>
        </w:tc>
      </w:tr>
      <w:tr w14:paraId="01543B5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B4ED">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BA5E">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92EC">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A3B5B">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E0CE">
            <w:pPr>
              <w:pStyle w:val="8"/>
              <w:spacing w:beforeAutospacing="0" w:afterAutospacing="0"/>
              <w:jc w:val="center"/>
            </w:pPr>
            <w:r>
              <w:t> </w:t>
            </w:r>
          </w:p>
        </w:tc>
      </w:tr>
    </w:tbl>
    <w:p w14:paraId="17765ACB">
      <w:pPr>
        <w:pStyle w:val="8"/>
        <w:spacing w:beforeAutospacing="0" w:afterAutospacing="0"/>
        <w:jc w:val="both"/>
      </w:pPr>
      <w:r>
        <w:rPr>
          <w:rFonts w:hint="eastAsia" w:ascii="宋体" w:hAnsi="宋体" w:eastAsia="宋体" w:cs="宋体"/>
          <w:color w:val="000000"/>
        </w:rPr>
        <w:t>注： 行数不够，可自行添加。</w:t>
      </w:r>
    </w:p>
    <w:p w14:paraId="3285E8D4">
      <w:pPr>
        <w:pStyle w:val="8"/>
        <w:spacing w:beforeAutospacing="0" w:afterAutospacing="0" w:line="480" w:lineRule="auto"/>
        <w:jc w:val="both"/>
      </w:pPr>
      <w:r>
        <w:t> </w:t>
      </w:r>
    </w:p>
    <w:p w14:paraId="5641CC24">
      <w:pPr>
        <w:pStyle w:val="8"/>
        <w:spacing w:beforeAutospacing="0" w:afterAutospacing="0" w:line="480" w:lineRule="auto"/>
        <w:jc w:val="both"/>
      </w:pPr>
      <w:r>
        <w:t> </w:t>
      </w:r>
    </w:p>
    <w:p w14:paraId="35416F56">
      <w:pPr>
        <w:pStyle w:val="8"/>
        <w:spacing w:beforeAutospacing="0" w:afterAutospacing="0"/>
        <w:jc w:val="center"/>
      </w:pPr>
      <w:bookmarkStart w:id="199" w:name="_Hlt26671374"/>
      <w:bookmarkStart w:id="200" w:name="_Hlt26609389"/>
      <w:bookmarkStart w:id="201" w:name="_Hlt26955066"/>
      <w:bookmarkStart w:id="202" w:name="_格式2__法定代表人授权书"/>
      <w:bookmarkStart w:id="203" w:name="_Toc462564146"/>
      <w:r>
        <w:t> </w:t>
      </w:r>
    </w:p>
    <w:p w14:paraId="2A5907C4">
      <w:pPr>
        <w:pStyle w:val="8"/>
        <w:spacing w:beforeAutospacing="0" w:afterAutospacing="0"/>
        <w:jc w:val="both"/>
      </w:pPr>
      <w:r>
        <w:t> </w:t>
      </w:r>
    </w:p>
    <w:p w14:paraId="348BB5A8">
      <w:pPr>
        <w:pStyle w:val="8"/>
        <w:spacing w:beforeAutospacing="0" w:afterAutospacing="0"/>
        <w:jc w:val="both"/>
      </w:pPr>
      <w:r>
        <w:t> </w:t>
      </w:r>
    </w:p>
    <w:p w14:paraId="6EC4C47F">
      <w:pPr>
        <w:pStyle w:val="8"/>
        <w:spacing w:beforeAutospacing="0" w:afterAutospacing="0"/>
        <w:jc w:val="both"/>
      </w:pPr>
    </w:p>
    <w:p w14:paraId="0DB32D82">
      <w:pPr>
        <w:pStyle w:val="8"/>
        <w:spacing w:beforeAutospacing="0" w:afterAutospacing="0"/>
        <w:jc w:val="both"/>
      </w:pPr>
    </w:p>
    <w:p w14:paraId="2DE580F6">
      <w:pPr>
        <w:pStyle w:val="8"/>
        <w:spacing w:beforeAutospacing="0" w:afterAutospacing="0"/>
        <w:jc w:val="both"/>
      </w:pPr>
    </w:p>
    <w:p w14:paraId="589121B3">
      <w:pPr>
        <w:pStyle w:val="8"/>
        <w:spacing w:beforeAutospacing="0" w:afterAutospacing="0"/>
        <w:jc w:val="both"/>
      </w:pPr>
    </w:p>
    <w:p w14:paraId="52C6C30B">
      <w:pPr>
        <w:pStyle w:val="8"/>
        <w:spacing w:beforeAutospacing="0" w:afterAutospacing="0"/>
        <w:jc w:val="both"/>
      </w:pPr>
    </w:p>
    <w:p w14:paraId="2E354FDE">
      <w:pPr>
        <w:pStyle w:val="8"/>
        <w:spacing w:beforeAutospacing="0" w:afterAutospacing="0"/>
        <w:jc w:val="both"/>
      </w:pPr>
    </w:p>
    <w:p w14:paraId="2BA01EEE">
      <w:pPr>
        <w:pStyle w:val="8"/>
        <w:spacing w:beforeAutospacing="0" w:afterAutospacing="0"/>
        <w:jc w:val="both"/>
      </w:pPr>
    </w:p>
    <w:p w14:paraId="38CF67FA">
      <w:pPr>
        <w:pStyle w:val="8"/>
        <w:spacing w:beforeAutospacing="0" w:afterAutospacing="0"/>
        <w:jc w:val="both"/>
      </w:pPr>
    </w:p>
    <w:p w14:paraId="07D4C1A8">
      <w:pPr>
        <w:pStyle w:val="8"/>
        <w:spacing w:beforeAutospacing="0" w:afterAutospacing="0"/>
        <w:jc w:val="both"/>
      </w:pPr>
      <w:r>
        <w:rPr>
          <w:rFonts w:hint="eastAsia" w:ascii="黑体" w:hAnsi="宋体" w:eastAsia="黑体" w:cs="黑体"/>
          <w:b/>
          <w:i/>
          <w:sz w:val="32"/>
          <w:szCs w:val="32"/>
          <w:u w:val="single"/>
        </w:rPr>
        <w:t>十五、开标一览表</w:t>
      </w:r>
    </w:p>
    <w:p w14:paraId="081609B9">
      <w:pPr>
        <w:pStyle w:val="8"/>
        <w:spacing w:beforeAutospacing="0" w:afterAutospacing="0"/>
        <w:ind w:firstLine="480"/>
        <w:jc w:val="both"/>
      </w:pPr>
      <w:r>
        <w:rPr>
          <w:rFonts w:hint="eastAsia" w:ascii="宋体" w:hAnsi="宋体" w:eastAsia="宋体" w:cs="宋体"/>
        </w:rPr>
        <w:t>投标人全称（加盖CA电子签章）：</w:t>
      </w:r>
    </w:p>
    <w:p w14:paraId="507FC0D1">
      <w:pPr>
        <w:pStyle w:val="8"/>
        <w:spacing w:beforeAutospacing="0" w:afterAutospacing="0"/>
        <w:ind w:firstLine="480"/>
        <w:jc w:val="both"/>
      </w:pPr>
      <w:r>
        <w:rPr>
          <w:rFonts w:hint="eastAsia" w:ascii="宋体" w:hAnsi="宋体" w:eastAsia="宋体" w:cs="宋体"/>
        </w:rPr>
        <w:t>项目名称：</w:t>
      </w:r>
    </w:p>
    <w:p w14:paraId="5014FE1F">
      <w:pPr>
        <w:pStyle w:val="8"/>
        <w:spacing w:beforeAutospacing="0" w:afterAutospacing="0"/>
        <w:ind w:firstLine="480"/>
        <w:jc w:val="both"/>
        <w:rPr>
          <w:rFonts w:ascii="宋体" w:hAnsi="宋体" w:eastAsia="宋体" w:cs="宋体"/>
        </w:rPr>
      </w:pPr>
      <w:r>
        <w:rPr>
          <w:rFonts w:hint="eastAsia" w:ascii="宋体" w:hAnsi="宋体" w:eastAsia="宋体" w:cs="宋体"/>
        </w:rPr>
        <w:t>项目编号：</w:t>
      </w:r>
    </w:p>
    <w:p w14:paraId="5065D030">
      <w:pPr>
        <w:pStyle w:val="8"/>
        <w:spacing w:beforeAutospacing="0" w:afterAutospacing="0"/>
        <w:ind w:firstLine="480"/>
        <w:jc w:val="both"/>
      </w:pPr>
      <w:r>
        <w:rPr>
          <w:rFonts w:hint="eastAsia" w:ascii="宋体" w:hAnsi="宋体" w:eastAsia="宋体" w:cs="宋体"/>
        </w:rPr>
        <w:t>分包号：</w:t>
      </w:r>
    </w:p>
    <w:tbl>
      <w:tblPr>
        <w:tblStyle w:val="10"/>
        <w:tblW w:w="8206" w:type="dxa"/>
        <w:tblCellSpacing w:w="0" w:type="dxa"/>
        <w:tblInd w:w="118" w:type="dxa"/>
        <w:tblLayout w:type="fixed"/>
        <w:tblCellMar>
          <w:top w:w="0" w:type="dxa"/>
          <w:left w:w="108" w:type="dxa"/>
          <w:bottom w:w="0" w:type="dxa"/>
          <w:right w:w="108" w:type="dxa"/>
        </w:tblCellMar>
      </w:tblPr>
      <w:tblGrid>
        <w:gridCol w:w="8206"/>
      </w:tblGrid>
      <w:tr w14:paraId="695BB81B">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0B4F9">
            <w:pPr>
              <w:pStyle w:val="8"/>
              <w:spacing w:beforeAutospacing="0" w:afterAutospacing="0"/>
              <w:jc w:val="center"/>
            </w:pPr>
            <w:r>
              <w:rPr>
                <w:rFonts w:hint="eastAsia" w:ascii="宋体" w:hAnsi="宋体" w:eastAsia="宋体" w:cs="宋体"/>
              </w:rPr>
              <w:t>投标总报价</w:t>
            </w:r>
          </w:p>
        </w:tc>
      </w:tr>
      <w:tr w14:paraId="2AF7116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C330">
            <w:pPr>
              <w:pStyle w:val="8"/>
              <w:spacing w:beforeAutospacing="0" w:afterAutospacing="0" w:line="0" w:lineRule="atLeast"/>
              <w:rPr>
                <w:rFonts w:ascii="宋体" w:hAnsi="宋体" w:eastAsia="宋体" w:cs="宋体"/>
              </w:rPr>
            </w:pPr>
            <w:r>
              <w:rPr>
                <w:rFonts w:hint="eastAsia" w:ascii="宋体" w:hAnsi="宋体" w:eastAsia="宋体" w:cs="宋体"/>
              </w:rPr>
              <w:t>大写：</w:t>
            </w:r>
          </w:p>
        </w:tc>
      </w:tr>
      <w:tr w14:paraId="7FB5CED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39E1E">
            <w:pPr>
              <w:pStyle w:val="8"/>
              <w:spacing w:beforeAutospacing="0" w:afterAutospacing="0" w:line="0" w:lineRule="atLeast"/>
            </w:pPr>
            <w:r>
              <w:rPr>
                <w:rFonts w:hint="eastAsia" w:ascii="宋体" w:hAnsi="宋体" w:eastAsia="宋体" w:cs="宋体"/>
              </w:rPr>
              <w:t>小写：                        （人民币：元）</w:t>
            </w:r>
          </w:p>
        </w:tc>
      </w:tr>
    </w:tbl>
    <w:p w14:paraId="7CCD2E86">
      <w:pPr>
        <w:pStyle w:val="8"/>
        <w:spacing w:beforeAutospacing="0" w:afterAutospacing="0"/>
        <w:jc w:val="both"/>
      </w:pPr>
      <w:r>
        <w:t> </w:t>
      </w:r>
    </w:p>
    <w:p w14:paraId="667EC6D5">
      <w:pPr>
        <w:pStyle w:val="8"/>
        <w:spacing w:beforeAutospacing="0" w:afterAutospacing="0"/>
        <w:ind w:firstLine="480"/>
        <w:jc w:val="both"/>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289ED8D5">
      <w:pPr>
        <w:pStyle w:val="8"/>
        <w:spacing w:beforeAutospacing="0" w:afterAutospacing="0"/>
        <w:ind w:firstLine="480"/>
        <w:jc w:val="both"/>
      </w:pPr>
      <w:r>
        <w:t> </w:t>
      </w:r>
    </w:p>
    <w:p w14:paraId="70F13C17">
      <w:pPr>
        <w:widowControl/>
        <w:spacing w:before="50" w:after="50"/>
        <w:jc w:val="center"/>
      </w:pPr>
    </w:p>
    <w:p w14:paraId="719B40F4">
      <w:pPr>
        <w:widowControl/>
        <w:spacing w:before="50" w:after="50"/>
        <w:jc w:val="center"/>
      </w:pPr>
    </w:p>
    <w:p w14:paraId="6C17C18E">
      <w:pPr>
        <w:widowControl/>
        <w:spacing w:before="50" w:after="50"/>
        <w:jc w:val="center"/>
      </w:pPr>
    </w:p>
    <w:p w14:paraId="66695A99">
      <w:pPr>
        <w:widowControl/>
        <w:spacing w:before="50" w:after="50"/>
        <w:jc w:val="center"/>
      </w:pPr>
    </w:p>
    <w:p w14:paraId="72C57CB7">
      <w:pPr>
        <w:widowControl/>
        <w:spacing w:before="50" w:after="50"/>
        <w:jc w:val="center"/>
      </w:pPr>
    </w:p>
    <w:p w14:paraId="1D4E7038">
      <w:pPr>
        <w:widowControl/>
        <w:spacing w:before="50" w:after="50"/>
        <w:jc w:val="center"/>
      </w:pPr>
    </w:p>
    <w:p w14:paraId="6533D202">
      <w:pPr>
        <w:widowControl/>
        <w:spacing w:before="50" w:after="50"/>
        <w:jc w:val="center"/>
      </w:pPr>
    </w:p>
    <w:p w14:paraId="100C8360">
      <w:pPr>
        <w:widowControl/>
        <w:spacing w:before="50" w:after="50"/>
        <w:jc w:val="center"/>
      </w:pPr>
    </w:p>
    <w:p w14:paraId="4B18BBE3">
      <w:pPr>
        <w:widowControl/>
        <w:spacing w:before="50" w:after="50"/>
        <w:jc w:val="center"/>
      </w:pPr>
    </w:p>
    <w:p w14:paraId="0EECCE48">
      <w:pPr>
        <w:widowControl/>
        <w:spacing w:before="50" w:after="50"/>
        <w:jc w:val="center"/>
      </w:pPr>
    </w:p>
    <w:p w14:paraId="2DB25954">
      <w:pPr>
        <w:widowControl/>
        <w:spacing w:before="50" w:after="50"/>
        <w:jc w:val="center"/>
      </w:pPr>
    </w:p>
    <w:p w14:paraId="2E19B5B2">
      <w:pPr>
        <w:widowControl/>
        <w:spacing w:before="50" w:after="50"/>
        <w:jc w:val="center"/>
      </w:pPr>
    </w:p>
    <w:p w14:paraId="2B5C40C3">
      <w:pPr>
        <w:widowControl/>
        <w:spacing w:before="50" w:after="50"/>
        <w:jc w:val="center"/>
      </w:pPr>
    </w:p>
    <w:p w14:paraId="0D2D3D2E">
      <w:pPr>
        <w:widowControl/>
        <w:spacing w:before="50" w:after="50"/>
        <w:jc w:val="center"/>
      </w:pPr>
    </w:p>
    <w:p w14:paraId="1B90B400">
      <w:pPr>
        <w:widowControl/>
        <w:spacing w:before="50" w:after="50"/>
        <w:jc w:val="center"/>
      </w:pPr>
    </w:p>
    <w:p w14:paraId="195636E0">
      <w:pPr>
        <w:widowControl/>
        <w:spacing w:before="50" w:after="50"/>
        <w:jc w:val="center"/>
      </w:pPr>
      <w:r>
        <w:tab/>
      </w:r>
    </w:p>
    <w:p w14:paraId="1B83DECF">
      <w:pPr>
        <w:widowControl/>
        <w:spacing w:before="50" w:after="50"/>
        <w:jc w:val="center"/>
      </w:pPr>
    </w:p>
    <w:p w14:paraId="2D075DDA">
      <w:pPr>
        <w:widowControl/>
        <w:spacing w:before="50" w:after="50"/>
        <w:jc w:val="center"/>
      </w:pPr>
    </w:p>
    <w:p w14:paraId="0EA845F2">
      <w:pPr>
        <w:widowControl/>
        <w:spacing w:before="50" w:after="50"/>
        <w:jc w:val="center"/>
      </w:pPr>
    </w:p>
    <w:p w14:paraId="68900EE8">
      <w:pPr>
        <w:pStyle w:val="15"/>
      </w:pPr>
    </w:p>
    <w:p w14:paraId="7998CABF">
      <w:pPr>
        <w:pStyle w:val="15"/>
      </w:pPr>
    </w:p>
    <w:p w14:paraId="75A6F3E0">
      <w:pPr>
        <w:pStyle w:val="15"/>
      </w:pPr>
    </w:p>
    <w:p w14:paraId="20E6C732">
      <w:pPr>
        <w:widowControl/>
        <w:spacing w:before="50" w:after="50"/>
        <w:jc w:val="center"/>
      </w:pPr>
    </w:p>
    <w:p w14:paraId="50749584">
      <w:pPr>
        <w:widowControl/>
        <w:spacing w:before="50" w:after="50"/>
        <w:jc w:val="center"/>
      </w:pPr>
    </w:p>
    <w:p w14:paraId="2398C651">
      <w:pPr>
        <w:widowControl/>
        <w:spacing w:before="50" w:after="50"/>
        <w:jc w:val="center"/>
      </w:pPr>
    </w:p>
    <w:p w14:paraId="36FCD157">
      <w:pPr>
        <w:widowControl/>
        <w:spacing w:before="50" w:after="50"/>
        <w:jc w:val="center"/>
        <w:rPr>
          <w:rFonts w:ascii="宋体" w:hAnsi="宋体" w:eastAsia="宋体" w:cs="宋体"/>
          <w:b/>
          <w:bCs/>
          <w:sz w:val="24"/>
        </w:rPr>
      </w:pPr>
      <w:r>
        <w:rPr>
          <w:rFonts w:hint="eastAsia" w:ascii="宋体" w:hAnsi="宋体" w:eastAsia="宋体" w:cs="宋体"/>
          <w:b/>
          <w:bCs/>
          <w:color w:val="000000"/>
          <w:sz w:val="32"/>
          <w:szCs w:val="32"/>
        </w:rPr>
        <w:t>十六、技术方案、服务承诺、培训承诺等</w:t>
      </w:r>
    </w:p>
    <w:p w14:paraId="1BF7CE20">
      <w:pPr>
        <w:pStyle w:val="8"/>
        <w:tabs>
          <w:tab w:val="left" w:pos="2160"/>
        </w:tabs>
        <w:spacing w:beforeAutospacing="0" w:afterAutospacing="0"/>
        <w:jc w:val="both"/>
      </w:pPr>
    </w:p>
    <w:p w14:paraId="0CAB5B19">
      <w:pPr>
        <w:widowControl/>
        <w:spacing w:line="499" w:lineRule="atLeast"/>
        <w:ind w:firstLine="1600"/>
        <w:rPr>
          <w:rFonts w:ascii="宋体" w:hAnsi="宋体" w:eastAsia="宋体" w:cs="宋体"/>
          <w:color w:val="000000"/>
          <w:sz w:val="32"/>
          <w:szCs w:val="32"/>
        </w:rPr>
      </w:pPr>
    </w:p>
    <w:p w14:paraId="24D28DC6">
      <w:pPr>
        <w:widowControl/>
        <w:spacing w:line="499" w:lineRule="atLeast"/>
        <w:ind w:firstLine="1600"/>
        <w:rPr>
          <w:rFonts w:ascii="宋体" w:hAnsi="宋体" w:eastAsia="宋体" w:cs="宋体"/>
          <w:color w:val="000000"/>
          <w:sz w:val="32"/>
          <w:szCs w:val="32"/>
        </w:rPr>
      </w:pPr>
    </w:p>
    <w:p w14:paraId="3C95A78B">
      <w:pPr>
        <w:widowControl/>
        <w:spacing w:line="499" w:lineRule="atLeast"/>
        <w:ind w:firstLine="1600"/>
        <w:rPr>
          <w:rFonts w:ascii="宋体" w:hAnsi="宋体" w:eastAsia="宋体" w:cs="宋体"/>
          <w:color w:val="000000"/>
          <w:sz w:val="32"/>
          <w:szCs w:val="32"/>
        </w:rPr>
      </w:pPr>
    </w:p>
    <w:p w14:paraId="54494554">
      <w:pPr>
        <w:widowControl/>
        <w:spacing w:line="499" w:lineRule="atLeast"/>
        <w:ind w:firstLine="1600"/>
        <w:rPr>
          <w:rFonts w:ascii="宋体" w:hAnsi="宋体" w:eastAsia="宋体" w:cs="宋体"/>
          <w:color w:val="000000"/>
          <w:sz w:val="32"/>
          <w:szCs w:val="32"/>
        </w:rPr>
      </w:pPr>
    </w:p>
    <w:p w14:paraId="19F58C72">
      <w:pPr>
        <w:widowControl/>
        <w:spacing w:line="499" w:lineRule="atLeast"/>
        <w:ind w:firstLine="1600"/>
        <w:rPr>
          <w:rFonts w:ascii="宋体" w:hAnsi="宋体" w:eastAsia="宋体" w:cs="宋体"/>
          <w:color w:val="000000"/>
          <w:sz w:val="32"/>
          <w:szCs w:val="32"/>
        </w:rPr>
      </w:pPr>
    </w:p>
    <w:p w14:paraId="7C19BE96">
      <w:pPr>
        <w:widowControl/>
        <w:spacing w:line="499" w:lineRule="atLeast"/>
        <w:ind w:firstLine="1600"/>
        <w:rPr>
          <w:rFonts w:ascii="宋体" w:hAnsi="宋体" w:eastAsia="宋体" w:cs="宋体"/>
          <w:color w:val="000000"/>
          <w:sz w:val="32"/>
          <w:szCs w:val="32"/>
        </w:rPr>
      </w:pPr>
    </w:p>
    <w:p w14:paraId="02B18425">
      <w:pPr>
        <w:widowControl/>
        <w:spacing w:line="499" w:lineRule="atLeast"/>
        <w:ind w:firstLine="1600"/>
        <w:rPr>
          <w:rFonts w:ascii="宋体" w:hAnsi="宋体" w:eastAsia="宋体" w:cs="宋体"/>
          <w:color w:val="000000"/>
          <w:sz w:val="32"/>
          <w:szCs w:val="32"/>
        </w:rPr>
      </w:pPr>
    </w:p>
    <w:p w14:paraId="6F273876">
      <w:pPr>
        <w:widowControl/>
        <w:spacing w:line="499" w:lineRule="atLeast"/>
        <w:ind w:firstLine="1600"/>
        <w:rPr>
          <w:rFonts w:ascii="宋体" w:hAnsi="宋体" w:eastAsia="宋体" w:cs="宋体"/>
          <w:color w:val="000000"/>
          <w:sz w:val="32"/>
          <w:szCs w:val="32"/>
        </w:rPr>
      </w:pPr>
    </w:p>
    <w:p w14:paraId="4EADE979">
      <w:pPr>
        <w:widowControl/>
        <w:spacing w:line="499" w:lineRule="atLeast"/>
        <w:ind w:firstLine="1600"/>
        <w:rPr>
          <w:rFonts w:ascii="宋体" w:hAnsi="宋体" w:eastAsia="宋体" w:cs="宋体"/>
          <w:color w:val="000000"/>
          <w:sz w:val="32"/>
          <w:szCs w:val="32"/>
        </w:rPr>
      </w:pPr>
    </w:p>
    <w:p w14:paraId="00E2B960">
      <w:pPr>
        <w:widowControl/>
        <w:spacing w:line="499" w:lineRule="atLeast"/>
        <w:ind w:firstLine="1600"/>
        <w:rPr>
          <w:rFonts w:ascii="宋体" w:hAnsi="宋体" w:eastAsia="宋体" w:cs="宋体"/>
          <w:color w:val="000000"/>
          <w:sz w:val="32"/>
          <w:szCs w:val="32"/>
        </w:rPr>
      </w:pPr>
    </w:p>
    <w:p w14:paraId="14EE595E">
      <w:pPr>
        <w:widowControl/>
        <w:spacing w:line="499" w:lineRule="atLeast"/>
        <w:ind w:firstLine="1600"/>
        <w:rPr>
          <w:rFonts w:ascii="宋体" w:hAnsi="宋体" w:eastAsia="宋体" w:cs="宋体"/>
          <w:color w:val="000000"/>
          <w:sz w:val="32"/>
          <w:szCs w:val="32"/>
        </w:rPr>
      </w:pPr>
    </w:p>
    <w:p w14:paraId="16E71530">
      <w:pPr>
        <w:widowControl/>
        <w:spacing w:line="499" w:lineRule="atLeast"/>
        <w:ind w:firstLine="1600"/>
        <w:rPr>
          <w:rFonts w:ascii="宋体" w:hAnsi="宋体" w:eastAsia="宋体" w:cs="宋体"/>
          <w:color w:val="000000"/>
          <w:sz w:val="32"/>
          <w:szCs w:val="32"/>
        </w:rPr>
      </w:pPr>
    </w:p>
    <w:p w14:paraId="3A248D98">
      <w:pPr>
        <w:widowControl/>
        <w:spacing w:line="499" w:lineRule="atLeast"/>
        <w:ind w:firstLine="1600"/>
        <w:rPr>
          <w:rFonts w:ascii="宋体" w:hAnsi="宋体" w:eastAsia="宋体" w:cs="宋体"/>
          <w:color w:val="000000"/>
          <w:sz w:val="32"/>
          <w:szCs w:val="32"/>
        </w:rPr>
      </w:pPr>
    </w:p>
    <w:p w14:paraId="2758D66D">
      <w:pPr>
        <w:widowControl/>
        <w:spacing w:line="499" w:lineRule="atLeast"/>
        <w:ind w:firstLine="1600"/>
        <w:rPr>
          <w:rFonts w:ascii="宋体" w:hAnsi="宋体" w:eastAsia="宋体" w:cs="宋体"/>
          <w:color w:val="000000"/>
          <w:sz w:val="32"/>
          <w:szCs w:val="32"/>
        </w:rPr>
      </w:pPr>
    </w:p>
    <w:p w14:paraId="1626D96F">
      <w:pPr>
        <w:widowControl/>
        <w:spacing w:line="499" w:lineRule="atLeast"/>
        <w:ind w:firstLine="1600"/>
        <w:rPr>
          <w:rFonts w:ascii="宋体" w:hAnsi="宋体" w:eastAsia="宋体" w:cs="宋体"/>
          <w:color w:val="000000"/>
          <w:sz w:val="32"/>
          <w:szCs w:val="32"/>
        </w:rPr>
      </w:pPr>
    </w:p>
    <w:p w14:paraId="6B7035E3">
      <w:pPr>
        <w:widowControl/>
        <w:spacing w:line="499" w:lineRule="atLeast"/>
        <w:ind w:firstLine="1600"/>
        <w:rPr>
          <w:rFonts w:ascii="宋体" w:hAnsi="宋体" w:eastAsia="宋体" w:cs="宋体"/>
          <w:color w:val="000000"/>
          <w:sz w:val="32"/>
          <w:szCs w:val="32"/>
        </w:rPr>
      </w:pPr>
    </w:p>
    <w:p w14:paraId="4AD03901">
      <w:pPr>
        <w:widowControl/>
        <w:spacing w:line="499" w:lineRule="atLeast"/>
        <w:ind w:firstLine="1600"/>
        <w:rPr>
          <w:rFonts w:ascii="宋体" w:hAnsi="宋体" w:eastAsia="宋体" w:cs="宋体"/>
          <w:color w:val="000000"/>
          <w:sz w:val="32"/>
          <w:szCs w:val="32"/>
        </w:rPr>
      </w:pPr>
    </w:p>
    <w:p w14:paraId="3127B8CD">
      <w:pPr>
        <w:widowControl/>
        <w:spacing w:line="499" w:lineRule="atLeast"/>
        <w:ind w:firstLine="1600"/>
        <w:rPr>
          <w:rFonts w:ascii="宋体" w:hAnsi="宋体" w:eastAsia="宋体" w:cs="宋体"/>
          <w:color w:val="000000"/>
          <w:sz w:val="32"/>
          <w:szCs w:val="32"/>
        </w:rPr>
      </w:pPr>
    </w:p>
    <w:p w14:paraId="5BE9575A">
      <w:pPr>
        <w:widowControl/>
        <w:spacing w:line="499" w:lineRule="atLeast"/>
        <w:ind w:firstLine="1600"/>
        <w:rPr>
          <w:rFonts w:ascii="宋体" w:hAnsi="宋体" w:eastAsia="宋体" w:cs="宋体"/>
          <w:color w:val="000000"/>
          <w:sz w:val="32"/>
          <w:szCs w:val="32"/>
        </w:rPr>
      </w:pPr>
    </w:p>
    <w:p w14:paraId="1A4F8BDE">
      <w:pPr>
        <w:widowControl/>
        <w:spacing w:line="499" w:lineRule="atLeast"/>
        <w:ind w:firstLine="1600"/>
        <w:rPr>
          <w:rFonts w:ascii="宋体" w:hAnsi="宋体" w:eastAsia="宋体" w:cs="宋体"/>
          <w:color w:val="000000"/>
          <w:sz w:val="32"/>
          <w:szCs w:val="32"/>
        </w:rPr>
      </w:pPr>
    </w:p>
    <w:p w14:paraId="78B571A7">
      <w:pPr>
        <w:widowControl/>
        <w:spacing w:line="499" w:lineRule="atLeast"/>
        <w:ind w:firstLine="1600"/>
        <w:rPr>
          <w:rFonts w:ascii="宋体" w:hAnsi="宋体" w:eastAsia="宋体" w:cs="宋体"/>
          <w:b/>
          <w:bCs/>
          <w:sz w:val="24"/>
        </w:rPr>
      </w:pPr>
      <w:r>
        <w:rPr>
          <w:rFonts w:hint="eastAsia" w:ascii="宋体" w:hAnsi="宋体" w:eastAsia="宋体" w:cs="宋体"/>
          <w:b/>
          <w:bCs/>
          <w:color w:val="000000"/>
          <w:sz w:val="32"/>
          <w:szCs w:val="32"/>
        </w:rPr>
        <w:t>十七、盐城市政府采购事前信用承诺书</w:t>
      </w:r>
    </w:p>
    <w:p w14:paraId="63D601BC">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240D830F">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3569904B">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DD16FC7">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6B9F9A9">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37ABB677">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5183C68D">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764E876">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0536DD86">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4DD0B50">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4F07C74A">
      <w:pPr>
        <w:widowControl/>
        <w:spacing w:line="499" w:lineRule="atLeast"/>
        <w:jc w:val="left"/>
        <w:rPr>
          <w:rFonts w:ascii="宋体" w:hAnsi="宋体" w:eastAsia="宋体" w:cs="宋体"/>
          <w:sz w:val="24"/>
        </w:rPr>
      </w:pPr>
      <w:r>
        <w:rPr>
          <w:rFonts w:hint="eastAsia" w:ascii="宋体" w:hAnsi="宋体" w:eastAsia="宋体" w:cs="宋体"/>
          <w:color w:val="000000"/>
          <w:sz w:val="24"/>
        </w:rPr>
        <w:t>                  法定代表人签名：</w:t>
      </w:r>
    </w:p>
    <w:p w14:paraId="787549CE">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469D6191">
      <w:pPr>
        <w:widowControl/>
        <w:spacing w:line="499" w:lineRule="atLeast"/>
        <w:jc w:val="center"/>
        <w:rPr>
          <w:rFonts w:ascii="宋体" w:hAnsi="宋体" w:eastAsia="宋体" w:cs="宋体"/>
          <w:sz w:val="24"/>
        </w:rPr>
      </w:pPr>
      <w:r>
        <w:rPr>
          <w:rFonts w:hint="eastAsia" w:ascii="宋体" w:hAnsi="宋体" w:eastAsia="宋体" w:cs="宋体"/>
          <w:color w:val="000000"/>
          <w:sz w:val="24"/>
        </w:rPr>
        <w:t>                      年月日</w:t>
      </w:r>
    </w:p>
    <w:p w14:paraId="1EB4C9BA">
      <w:pPr>
        <w:pStyle w:val="8"/>
        <w:spacing w:beforeAutospacing="0" w:afterAutospacing="0"/>
        <w:jc w:val="center"/>
      </w:pP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80"/>
    <w:bookmarkEnd w:id="184"/>
    <w:bookmarkEnd w:id="185"/>
    <w:bookmarkEnd w:id="187"/>
    <w:bookmarkEnd w:id="188"/>
    <w:bookmarkEnd w:id="189"/>
    <w:bookmarkEnd w:id="190"/>
    <w:bookmarkEnd w:id="199"/>
    <w:bookmarkEnd w:id="200"/>
    <w:bookmarkEnd w:id="201"/>
    <w:bookmarkEnd w:id="202"/>
    <w:bookmarkEnd w:id="203"/>
    <w:p w14:paraId="18AB9414"/>
    <w:p w14:paraId="095C7CE4"/>
    <w:p w14:paraId="3C2FDE17">
      <w:pPr>
        <w:pStyle w:val="8"/>
        <w:spacing w:beforeAutospacing="0" w:afterAutospacing="0"/>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1367F917">
      <w:pPr>
        <w:pStyle w:val="8"/>
        <w:spacing w:before="290" w:beforeAutospacing="0" w:afterAutospacing="0" w:line="360" w:lineRule="auto"/>
        <w:jc w:val="both"/>
        <w:rPr>
          <w:rFonts w:ascii="宋体" w:hAnsi="宋体" w:eastAsia="宋体" w:cs="宋体"/>
        </w:rPr>
      </w:pPr>
      <w:r>
        <w:rPr>
          <w:rFonts w:hint="eastAsia" w:ascii="宋体" w:hAnsi="宋体" w:eastAsia="宋体" w:cs="宋体"/>
          <w:color w:val="000000"/>
        </w:rPr>
        <w:t>一、质疑供应商基本信息</w:t>
      </w:r>
    </w:p>
    <w:p w14:paraId="16CBADF1">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EDCAE13">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30ED93C">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BB08D77">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F2FF0AF">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6D315D56">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9D69E83">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98BBB37">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09A0C96">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10E1CE02">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二、质疑项目基本情况</w:t>
      </w:r>
    </w:p>
    <w:p w14:paraId="41A8CB57">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38D8D52">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873258E">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4749D37">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28C01EA6">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6D648DB5">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三、质疑事项具体内容</w:t>
      </w:r>
    </w:p>
    <w:p w14:paraId="459D5CED">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4102D9D2">
      <w:pPr>
        <w:pStyle w:val="8"/>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256B3272">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1C7AFB22">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35011846">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060D15DE">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四、与质疑事项相关的质疑请求</w:t>
      </w:r>
    </w:p>
    <w:p w14:paraId="3F0C905C">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600AE16D">
      <w:pPr>
        <w:pStyle w:val="8"/>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1C7701CB">
      <w:pPr>
        <w:pStyle w:val="8"/>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1C8C9181">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57B6C3A6">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97CA394">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5D9C2A4C">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4B0F9507">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5.质疑函的质疑请求应与质疑事项相关。</w:t>
      </w:r>
    </w:p>
    <w:p w14:paraId="2FD50B34">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1B1BA5AE">
      <w:pPr>
        <w:pStyle w:val="8"/>
        <w:spacing w:beforeAutospacing="0" w:afterAutospacing="0"/>
        <w:ind w:firstLine="420"/>
        <w:jc w:val="both"/>
        <w:rPr>
          <w:rFonts w:ascii="宋体" w:hAnsi="宋体" w:eastAsia="宋体" w:cs="宋体"/>
        </w:rPr>
      </w:pPr>
      <w:r>
        <w:rPr>
          <w:rFonts w:hint="eastAsia" w:ascii="宋体" w:hAnsi="宋体" w:eastAsia="宋体" w:cs="宋体"/>
        </w:rPr>
        <w:t> </w:t>
      </w:r>
    </w:p>
    <w:p w14:paraId="0EAFCB3F"/>
    <w:p w14:paraId="0914EADC"/>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B0604020202020204"/>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266C9A"/>
    <w:multiLevelType w:val="singleLevel"/>
    <w:tmpl w:val="B9266C9A"/>
    <w:lvl w:ilvl="0" w:tentative="0">
      <w:start w:val="14"/>
      <w:numFmt w:val="chineseCounting"/>
      <w:suff w:val="nothing"/>
      <w:lvlText w:val="%1、"/>
      <w:lvlJc w:val="left"/>
      <w:rPr>
        <w:rFonts w:hint="eastAsia"/>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DB0F3F56"/>
    <w:multiLevelType w:val="singleLevel"/>
    <w:tmpl w:val="DB0F3F56"/>
    <w:lvl w:ilvl="0" w:tentative="0">
      <w:start w:val="10"/>
      <w:numFmt w:val="chineseCounting"/>
      <w:suff w:val="nothing"/>
      <w:lvlText w:val="%1、"/>
      <w:lvlJc w:val="left"/>
      <w:pPr>
        <w:ind w:left="2891" w:leftChars="0" w:firstLine="0" w:firstLineChars="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4C8"/>
    <w:rsid w:val="0000007E"/>
    <w:rsid w:val="00226864"/>
    <w:rsid w:val="00284903"/>
    <w:rsid w:val="004759C8"/>
    <w:rsid w:val="005344C8"/>
    <w:rsid w:val="00582A37"/>
    <w:rsid w:val="007736A6"/>
    <w:rsid w:val="00775A0E"/>
    <w:rsid w:val="007C5BCB"/>
    <w:rsid w:val="008A5FE7"/>
    <w:rsid w:val="00AA7556"/>
    <w:rsid w:val="00B4764A"/>
    <w:rsid w:val="00D20F77"/>
    <w:rsid w:val="0D3B5CCB"/>
    <w:rsid w:val="24227FE7"/>
    <w:rsid w:val="258A52EC"/>
    <w:rsid w:val="2D8C63A3"/>
    <w:rsid w:val="342815F8"/>
    <w:rsid w:val="3626758D"/>
    <w:rsid w:val="3DA72AD0"/>
    <w:rsid w:val="6B3F2A9F"/>
    <w:rsid w:val="6B5041DC"/>
    <w:rsid w:val="710C5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4"/>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autoRedefine/>
    <w:qFormat/>
    <w:uiPriority w:val="0"/>
    <w:pPr>
      <w:jc w:val="left"/>
    </w:pPr>
  </w:style>
  <w:style w:type="paragraph" w:styleId="4">
    <w:name w:val="Body Text"/>
    <w:basedOn w:val="1"/>
    <w:next w:val="1"/>
    <w:link w:val="17"/>
    <w:semiHidden/>
    <w:qFormat/>
    <w:uiPriority w:val="0"/>
    <w:rPr>
      <w:rFonts w:ascii="仿宋" w:hAnsi="仿宋" w:eastAsia="仿宋" w:cs="仿宋"/>
      <w:sz w:val="31"/>
      <w:szCs w:val="31"/>
      <w:lang w:eastAsia="en-US"/>
    </w:rPr>
  </w:style>
  <w:style w:type="paragraph" w:styleId="5">
    <w:name w:val="Balloon Text"/>
    <w:basedOn w:val="1"/>
    <w:link w:val="24"/>
    <w:qFormat/>
    <w:uiPriority w:val="0"/>
    <w:rPr>
      <w:rFonts w:ascii="宋体" w:eastAsia="宋体"/>
      <w:sz w:val="18"/>
      <w:szCs w:val="18"/>
    </w:rPr>
  </w:style>
  <w:style w:type="paragraph" w:styleId="6">
    <w:name w:val="footer"/>
    <w:basedOn w:val="1"/>
    <w:link w:val="18"/>
    <w:autoRedefine/>
    <w:qFormat/>
    <w:uiPriority w:val="0"/>
    <w:pPr>
      <w:tabs>
        <w:tab w:val="center" w:pos="4153"/>
        <w:tab w:val="right" w:pos="8306"/>
      </w:tabs>
      <w:snapToGrid w:val="0"/>
      <w:jc w:val="left"/>
    </w:pPr>
    <w:rPr>
      <w:sz w:val="18"/>
      <w:szCs w:val="18"/>
    </w:rPr>
  </w:style>
  <w:style w:type="paragraph" w:styleId="7">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paragraph" w:styleId="9">
    <w:name w:val="Body Text First Indent"/>
    <w:link w:val="20"/>
    <w:qFormat/>
    <w:uiPriority w:val="0"/>
    <w:pPr>
      <w:widowControl w:val="0"/>
      <w:spacing w:after="120" w:line="360" w:lineRule="auto"/>
      <w:ind w:firstLine="200" w:firstLineChars="200"/>
      <w:jc w:val="both"/>
    </w:pPr>
    <w:rPr>
      <w:rFonts w:ascii="仿宋_GB2312" w:eastAsia="仿宋_GB2312" w:hAnsiTheme="minorHAnsi" w:cstheme="minorBidi"/>
      <w:kern w:val="2"/>
      <w:sz w:val="30"/>
      <w:szCs w:val="30"/>
      <w:lang w:val="en-US" w:eastAsia="zh-CN" w:bidi="ar-SA"/>
    </w:rPr>
  </w:style>
  <w:style w:type="table" w:styleId="11">
    <w:name w:val="Table Grid"/>
    <w:basedOn w:val="1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character" w:customStyle="1" w:styleId="14">
    <w:name w:val="标题 2 字符"/>
    <w:basedOn w:val="12"/>
    <w:link w:val="2"/>
    <w:semiHidden/>
    <w:qFormat/>
    <w:uiPriority w:val="0"/>
    <w:rPr>
      <w:rFonts w:ascii="宋体" w:hAnsi="宋体" w:eastAsia="宋体" w:cs="Times New Roman"/>
      <w:b/>
      <w:bCs/>
      <w:kern w:val="0"/>
      <w:sz w:val="36"/>
      <w:szCs w:val="36"/>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6">
    <w:name w:val="批注文字 字符"/>
    <w:basedOn w:val="12"/>
    <w:link w:val="3"/>
    <w:qFormat/>
    <w:uiPriority w:val="0"/>
  </w:style>
  <w:style w:type="character" w:customStyle="1" w:styleId="17">
    <w:name w:val="正文文本 字符"/>
    <w:basedOn w:val="12"/>
    <w:link w:val="4"/>
    <w:semiHidden/>
    <w:qFormat/>
    <w:uiPriority w:val="0"/>
    <w:rPr>
      <w:rFonts w:ascii="仿宋" w:hAnsi="仿宋" w:eastAsia="仿宋" w:cs="仿宋"/>
      <w:sz w:val="31"/>
      <w:szCs w:val="31"/>
      <w:lang w:eastAsia="en-US"/>
    </w:rPr>
  </w:style>
  <w:style w:type="character" w:customStyle="1" w:styleId="18">
    <w:name w:val="页脚 字符"/>
    <w:basedOn w:val="12"/>
    <w:link w:val="6"/>
    <w:qFormat/>
    <w:uiPriority w:val="0"/>
    <w:rPr>
      <w:sz w:val="18"/>
      <w:szCs w:val="18"/>
    </w:rPr>
  </w:style>
  <w:style w:type="character" w:customStyle="1" w:styleId="19">
    <w:name w:val="页眉 字符"/>
    <w:basedOn w:val="12"/>
    <w:link w:val="7"/>
    <w:qFormat/>
    <w:uiPriority w:val="0"/>
    <w:rPr>
      <w:sz w:val="18"/>
      <w:szCs w:val="18"/>
    </w:rPr>
  </w:style>
  <w:style w:type="character" w:customStyle="1" w:styleId="20">
    <w:name w:val="正文文本首行缩进 字符"/>
    <w:basedOn w:val="17"/>
    <w:link w:val="9"/>
    <w:qFormat/>
    <w:uiPriority w:val="0"/>
    <w:rPr>
      <w:rFonts w:ascii="仿宋_GB2312" w:hAnsi="仿宋" w:eastAsia="仿宋_GB2312" w:cs="仿宋"/>
      <w:sz w:val="30"/>
      <w:szCs w:val="30"/>
      <w:lang w:eastAsia="en-US"/>
    </w:rPr>
  </w:style>
  <w:style w:type="paragraph" w:customStyle="1" w:styleId="21">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character" w:customStyle="1" w:styleId="24">
    <w:name w:val="批注框文本 字符"/>
    <w:basedOn w:val="12"/>
    <w:link w:val="5"/>
    <w:qFormat/>
    <w:uiPriority w:val="0"/>
    <w:rPr>
      <w:rFonts w:ascii="宋体" w:eastAsia="宋体"/>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17942</Words>
  <Characters>19295</Characters>
  <Lines>208</Lines>
  <Paragraphs>58</Paragraphs>
  <TotalTime>0</TotalTime>
  <ScaleCrop>false</ScaleCrop>
  <LinksUpToDate>false</LinksUpToDate>
  <CharactersWithSpaces>19707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2025-09-29T02:52:00Z</dcterms:created>
  <dc:creator>爱君 刘</dc:creator>
  <cp:lastModifiedBy>Agonia</cp:lastModifiedBy>
  <dcterms:modified xsi:type="dcterms:W3CDTF">2025-10-14T03:37:44Z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eyJoZGlkIjoiNDE5YjY5MWU4NGI3NDhkM2Q3ZWFkMGY0MTMyN2QxMjQiLCJ1c2VySWQiOiI2NDU4MTg3NjQifQ==</vt:lpwstr>
  </property>
  <property fmtid="{D5CDD505-2E9C-101B-9397-08002B2CF9AE}" pid="3" name="KSOProductBuildVer">
    <vt:lpwstr>2052-12.1.0.23125</vt:lpwstr>
  </property>
  <property fmtid="{D5CDD505-2E9C-101B-9397-08002B2CF9AE}" pid="4" name="ICV">
    <vt:lpwstr>20978EB8F34743CE9406A3966565F1A4_12</vt:lpwstr>
  </property>
</Properties>
</file>